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94"/>
        <w:rPr/>
      </w:pPr>
      <w:r>
        <w:rPr>
          <w:rStyle w:val="style87"/>
        </w:rPr>
        <w:t>The Topics in Your Christian Eschatological Study</w:t>
      </w:r>
    </w:p>
    <w:p>
      <w:pPr>
        <w:pStyle w:val="style94"/>
        <w:rPr/>
      </w:pPr>
      <w:r>
        <w:t xml:space="preserve">Whenever thou desirest to study or teach on the subject of </w:t>
      </w:r>
      <w:r>
        <w:rPr>
          <w:rStyle w:val="style88"/>
        </w:rPr>
        <w:t>Ilm al-Akhirat</w:t>
      </w:r>
      <w:r>
        <w:t xml:space="preserve"> (the knowledge of the Last Things), consider that it is possible that some among you may go on to pursue </w:t>
      </w:r>
      <w:r>
        <w:t>a</w:t>
      </w:r>
      <w:r>
        <w:t xml:space="preserve"> M.Div., </w:t>
      </w:r>
      <w:bookmarkStart w:id="0" w:name="_GoBack"/>
      <w:bookmarkEnd w:id="0"/>
      <w:r>
        <w:t>a</w:t>
      </w:r>
      <w:r>
        <w:t xml:space="preserve"> </w:t>
      </w:r>
      <w:r>
        <w:t>M.Th.</w:t>
      </w:r>
      <w:r>
        <w:t xml:space="preserve"> or even a Ph.D., and say, “Let my thesis, my research paper, or my capstone project be on this very matter.” This is indeed a noble </w:t>
      </w:r>
      <w:r>
        <w:t>endeavour</w:t>
      </w:r>
      <w:r>
        <w:t>.</w:t>
      </w:r>
    </w:p>
    <w:p>
      <w:pPr>
        <w:pStyle w:val="style94"/>
        <w:rPr/>
      </w:pPr>
      <w:r>
        <w:t xml:space="preserve">If this study of Eschatology hath stirred within thee a holy curiosity and a deep thirst—to inquire earnestly regarding the Return of the Lord or the doctrines pertaining to the Last Things—then though I cannot expound upon everything in merely four lectures, yet may I </w:t>
      </w:r>
      <w:r>
        <w:t>instil</w:t>
      </w:r>
      <w:r>
        <w:t xml:space="preserve"> within thee a longing and a hunger to seek further.</w:t>
      </w:r>
    </w:p>
    <w:p>
      <w:pPr>
        <w:pStyle w:val="style94"/>
        <w:rPr/>
      </w:pPr>
      <w:r>
        <w:t>Peradventure, thou mayest say: “I must undertake serious research upon the resurrection of the dead.”</w:t>
      </w:r>
      <w:r>
        <w:br/>
      </w:r>
      <w:r>
        <w:t>“I shall consult Brother Khurram and ask of him the recommended books.”</w:t>
      </w:r>
      <w:r>
        <w:br/>
      </w:r>
      <w:r>
        <w:t>“I shall visit Christian bookshops.”</w:t>
      </w:r>
      <w:r>
        <w:br/>
      </w:r>
      <w:r>
        <w:t>“I shall search the Holy Scriptures diligently.”</w:t>
      </w:r>
      <w:r>
        <w:br/>
      </w:r>
      <w:r>
        <w:t>“I desire to prepare a study on this sacred subject.”</w:t>
      </w:r>
    </w:p>
    <w:p>
      <w:pPr>
        <w:pStyle w:val="style94"/>
        <w:rPr/>
      </w:pPr>
      <w:r>
        <w:t>Many among my own kindred attend churches where the Second Coming of Christ is scarcely spoken of.</w:t>
      </w:r>
      <w:r>
        <w:br/>
      </w:r>
      <w:r>
        <w:t>When we speak of the resurrection of the dead, apart from the Feast of the Resurrection of Christ, we hear little or no preaching from our pastors on this matter—that the dead shall rise again, that just as Christ is risen, so shall we rise.</w:t>
      </w:r>
    </w:p>
    <w:p>
      <w:pPr>
        <w:pStyle w:val="style94"/>
        <w:rPr/>
      </w:pPr>
      <w:r>
        <w:t>This sacred truth has, to our shame, been limited only to the celebration of Resurrection Sunday.</w:t>
      </w:r>
      <w:r>
        <w:br/>
      </w:r>
      <w:r>
        <w:t>Yet these are doctrines that must be revisited again and again from the pulpit.</w:t>
      </w:r>
    </w:p>
    <w:p>
      <w:pPr>
        <w:pStyle w:val="style94"/>
        <w:rPr/>
      </w:pPr>
      <w:r>
        <w:t>Pastors must preach these truths in Sunday services, that the Church in Pakistan, and indeed the Church universal, may be made ready for the glorious appearing of our Lord Jesus Christ.</w:t>
      </w:r>
    </w:p>
    <w:p>
      <w:pPr>
        <w:pStyle w:val="style94"/>
        <w:rPr/>
      </w:pPr>
      <w:r>
        <w:t>But alas, we speak not of these things as we ought</w:t>
      </w:r>
      <w:r>
        <w:rPr>
          <w:lang w:val="en-US"/>
        </w:rPr>
        <w:t>.</w:t>
      </w:r>
      <w:r>
        <w:br/>
      </w:r>
      <w:r>
        <w:t>We must.</w:t>
      </w:r>
    </w:p>
    <w:p>
      <w:pPr>
        <w:pStyle w:val="style94"/>
        <w:rPr/>
      </w:pPr>
      <w:r>
        <w:t>If the Holy Bible speaks on this matter, then it behooveth us also to speak.</w:t>
      </w:r>
    </w:p>
    <w:p>
      <w:pPr>
        <w:pStyle w:val="style94"/>
        <w:rPr/>
      </w:pPr>
      <w:r>
        <w:rPr>
          <w:rStyle w:val="style87"/>
        </w:rPr>
        <w:t>Today’s Study: The Resurrection of the Dead</w:t>
      </w:r>
    </w:p>
    <w:p>
      <w:pPr>
        <w:pStyle w:val="style94"/>
        <w:rPr/>
      </w:pPr>
      <w:r>
        <w:t xml:space="preserve">Today we shall examine this point in detail: </w:t>
      </w:r>
      <w:r>
        <w:rPr>
          <w:rStyle w:val="style88"/>
        </w:rPr>
        <w:t>The Resurrection of the Dead.</w:t>
      </w:r>
    </w:p>
    <w:p>
      <w:pPr>
        <w:pStyle w:val="style94"/>
        <w:rPr/>
      </w:pPr>
      <w:r>
        <w:t>Art thou ready? Art thou joyful?</w:t>
      </w:r>
      <w:r>
        <w:br/>
      </w:r>
      <w:r>
        <w:t>Art thou prepared?</w:t>
      </w:r>
    </w:p>
    <w:p>
      <w:pPr>
        <w:pStyle w:val="style94"/>
        <w:rPr/>
      </w:pPr>
      <w:r>
        <w:t>To all our brothers and sisters watching online: Are ye joyful? Are ye ready? If so, write and send thy answer.</w:t>
      </w:r>
    </w:p>
    <w:p>
      <w:pPr>
        <w:pStyle w:val="style94"/>
        <w:rPr/>
      </w:pPr>
      <w:r>
        <w:t>Now, the classical and central reference to the Resurrection of the Dead, as recorded in the New Testament, is this:</w:t>
      </w:r>
    </w:p>
    <w:p>
      <w:pPr>
        <w:pStyle w:val="style94"/>
        <w:rPr/>
      </w:pPr>
      <w:r>
        <w:t>Take with me the Holy Scriptures, and turn to the First Epistle to the Corinthians, chapter fifteen.</w:t>
      </w:r>
    </w:p>
    <w:p>
      <w:pPr>
        <w:pStyle w:val="style94"/>
        <w:rPr/>
      </w:pPr>
      <w:r>
        <w:t xml:space="preserve">Let some brother or sister arise, and with a loud voice, read it aloud in </w:t>
      </w:r>
      <w:r>
        <w:t>honour</w:t>
      </w:r>
      <w:r>
        <w:t xml:space="preserve"> of the Word of God.</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The Resurrection of Christ: A Complete Gospel</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 entire chapter is </w:t>
      </w:r>
      <w:r>
        <w:rPr>
          <w:rFonts w:ascii="Times New Roman" w:cs="Times New Roman" w:eastAsia="Times New Roman" w:hAnsi="Times New Roman"/>
          <w:sz w:val="24"/>
          <w:szCs w:val="24"/>
          <w:lang w:eastAsia="en-GB"/>
        </w:rPr>
        <w:t>centred</w:t>
      </w:r>
      <w:r>
        <w:rPr>
          <w:rFonts w:ascii="Times New Roman" w:cs="Times New Roman" w:eastAsia="Times New Roman" w:hAnsi="Times New Roman"/>
          <w:sz w:val="24"/>
          <w:szCs w:val="24"/>
          <w:lang w:eastAsia="en-GB"/>
        </w:rPr>
        <w:t xml:space="preserve"> on this theme: the Resurrection of Christ. In both your Bible and mine, the title remains the same. What is the English title of this chapter? It is: </w:t>
      </w:r>
      <w:r>
        <w:rPr>
          <w:rFonts w:ascii="Times New Roman" w:cs="Times New Roman" w:eastAsia="Times New Roman" w:hAnsi="Times New Roman"/>
          <w:i/>
          <w:iCs/>
          <w:sz w:val="24"/>
          <w:szCs w:val="24"/>
          <w:lang w:eastAsia="en-GB"/>
        </w:rPr>
        <w:t>The Resurrection of Christ</w:t>
      </w:r>
      <w:r>
        <w:rPr>
          <w:rFonts w:ascii="Times New Roman" w:cs="Times New Roman" w:eastAsia="Times New Roman" w:hAnsi="Times New Roman"/>
          <w:sz w:val="24"/>
          <w:szCs w:val="24"/>
          <w:lang w:eastAsia="en-GB"/>
        </w:rPr>
        <w: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Now, the passage is lengthy—it contains 58 verses. But let us attempt to read the first six. Will a brother or sister kindly read?</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i/>
          <w:iCs/>
          <w:sz w:val="24"/>
          <w:szCs w:val="24"/>
          <w:lang w:eastAsia="en-GB"/>
        </w:rPr>
        <w:t>1 Corinthians, chapter 15, verses 1 through 6—from the living and holy Word of God:</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“Moreover, brethren, I declare unto you the gospel which I preached unto you, which also ye have received, and wherein ye stand;</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By which also ye are saved, if ye keep in memory what I preached unto you, unless ye have believed in vain.</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For I delivered unto you first of all that which I also received, how that Christ died for our sins according to the scriptures</w:t>
      </w:r>
      <w:r>
        <w:rPr>
          <w:rFonts w:ascii="Times New Roman" w:cs="Times New Roman" w:eastAsia="Times New Roman" w:hAnsi="Times New Roman"/>
          <w:sz w:val="24"/>
          <w:szCs w:val="24"/>
          <w:lang w:eastAsia="en-GB"/>
        </w:rPr>
        <w:t xml:space="preserve">; </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And that He was buried, and that He rose again the third day according to the scriptures</w:t>
      </w:r>
      <w:r>
        <w:rPr>
          <w:rFonts w:ascii="Times New Roman" w:cs="Times New Roman" w:eastAsia="Times New Roman" w:hAnsi="Times New Roman"/>
          <w:sz w:val="24"/>
          <w:szCs w:val="24"/>
          <w:lang w:eastAsia="en-GB"/>
        </w:rPr>
        <w:t xml:space="preserve">: </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And that He was seen of Cephas, then of the twelve</w:t>
      </w:r>
      <w:r>
        <w:rPr>
          <w:rFonts w:ascii="Times New Roman" w:cs="Times New Roman" w:eastAsia="Times New Roman" w:hAnsi="Times New Roman"/>
          <w:sz w:val="24"/>
          <w:szCs w:val="24"/>
          <w:lang w:eastAsia="en-GB"/>
        </w:rPr>
        <w:t>:</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After that, He was seen of above five hundred brethren at once; of whom the greater part remain unto this present, but some are fallen asleep.”</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In the name of the risen Christ—Amen.</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The Centrality of Resurrection in the Gospel</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John Stott, a renowned Christian writer from Britain, once penned these thoughts. His book </w:t>
      </w:r>
      <w:r>
        <w:rPr>
          <w:rFonts w:ascii="Times New Roman" w:cs="Times New Roman" w:eastAsia="Times New Roman" w:hAnsi="Times New Roman"/>
          <w:i/>
          <w:iCs/>
          <w:sz w:val="24"/>
          <w:szCs w:val="24"/>
          <w:lang w:eastAsia="en-GB"/>
        </w:rPr>
        <w:t>Basic Christianity</w:t>
      </w:r>
      <w:r>
        <w:rPr>
          <w:rFonts w:ascii="Times New Roman" w:cs="Times New Roman" w:eastAsia="Times New Roman" w:hAnsi="Times New Roman"/>
          <w:sz w:val="24"/>
          <w:szCs w:val="24"/>
          <w:lang w:eastAsia="en-GB"/>
        </w:rPr>
        <w:t xml:space="preserve"> is widely known, and in my personal opinion, </w:t>
      </w:r>
      <w:r>
        <w:rPr>
          <w:rFonts w:ascii="Times New Roman" w:cs="Times New Roman" w:eastAsia="Times New Roman" w:hAnsi="Times New Roman"/>
          <w:b/>
          <w:bCs/>
          <w:sz w:val="24"/>
          <w:szCs w:val="24"/>
          <w:lang w:eastAsia="en-GB"/>
        </w:rPr>
        <w:t>every Christian who is able to read should read this book</w:t>
      </w:r>
      <w:r>
        <w:rPr>
          <w:rFonts w:ascii="Times New Roman" w:cs="Times New Roman" w:eastAsia="Times New Roman" w:hAnsi="Times New Roman"/>
          <w:sz w:val="24"/>
          <w:szCs w:val="24"/>
          <w:lang w:eastAsia="en-GB"/>
        </w:rPr>
        <w:t>. I am unsure whether any of our institutions have translated it, but the book remains profoundly impactful.</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About eight years ago, I was visiting the United States. While seated in a seminary, a professor gifted me this very book. I have read it three to four times since. In it, John Stott declares:</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 Gospel—the Good News, or </w:t>
      </w:r>
      <w:r>
        <w:rPr>
          <w:rFonts w:ascii="Times New Roman" w:cs="Times New Roman" w:eastAsia="Times New Roman" w:hAnsi="Times New Roman"/>
          <w:i/>
          <w:iCs/>
          <w:sz w:val="24"/>
          <w:szCs w:val="24"/>
          <w:lang w:eastAsia="en-GB"/>
        </w:rPr>
        <w:t>Evangelion</w:t>
      </w:r>
      <w:r>
        <w:rPr>
          <w:rFonts w:ascii="Times New Roman" w:cs="Times New Roman" w:eastAsia="Times New Roman" w:hAnsi="Times New Roman"/>
          <w:sz w:val="24"/>
          <w:szCs w:val="24"/>
          <w:lang w:eastAsia="en-GB"/>
        </w:rPr>
        <w:t xml:space="preserve"> in Greek—is incomplete if one speaks only of Christ’s death and burial but omits His resurrection.”</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Without the resurrection, the Gospel is not whole.</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For death and burial are not unique to Christ. These are shared experiences among men. But </w:t>
      </w:r>
      <w:r>
        <w:rPr>
          <w:rFonts w:ascii="Times New Roman" w:cs="Times New Roman" w:eastAsia="Times New Roman" w:hAnsi="Times New Roman"/>
          <w:b/>
          <w:bCs/>
          <w:sz w:val="24"/>
          <w:szCs w:val="24"/>
          <w:lang w:eastAsia="en-GB"/>
        </w:rPr>
        <w:t>to die, to be buried, and to rise again</w:t>
      </w:r>
      <w:r>
        <w:rPr>
          <w:rFonts w:ascii="Times New Roman" w:cs="Times New Roman" w:eastAsia="Times New Roman" w:hAnsi="Times New Roman"/>
          <w:sz w:val="24"/>
          <w:szCs w:val="24"/>
          <w:lang w:eastAsia="en-GB"/>
        </w:rPr>
        <w:t>—this belongs to Christ alone.</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Thus, John Stott teaches that Christ was crucified, that He willingly embraced a shameful and painful death for our sake. He was buried. But if you stop the narrative there—if your ideology, your viewpoint, or your worldview ends at the grave—then tell me: </w:t>
      </w:r>
      <w:r>
        <w:rPr>
          <w:rFonts w:ascii="Times New Roman" w:cs="Times New Roman" w:eastAsia="Times New Roman" w:hAnsi="Times New Roman"/>
          <w:i/>
          <w:iCs/>
          <w:sz w:val="24"/>
          <w:szCs w:val="24"/>
          <w:lang w:eastAsia="en-GB"/>
        </w:rPr>
        <w:t>Where is the message of Christian hope?</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If you preach only this: </w:t>
      </w:r>
      <w:r>
        <w:rPr>
          <w:rFonts w:ascii="Times New Roman" w:cs="Times New Roman" w:eastAsia="Times New Roman" w:hAnsi="Times New Roman"/>
          <w:i/>
          <w:iCs/>
          <w:sz w:val="24"/>
          <w:szCs w:val="24"/>
          <w:lang w:eastAsia="en-GB"/>
        </w:rPr>
        <w:t>Christ died and Christ was buried</w:t>
      </w:r>
      <w:r>
        <w:rPr>
          <w:rFonts w:ascii="Times New Roman" w:cs="Times New Roman" w:eastAsia="Times New Roman" w:hAnsi="Times New Roman"/>
          <w:sz w:val="24"/>
          <w:szCs w:val="24"/>
          <w:lang w:eastAsia="en-GB"/>
        </w:rPr>
        <w:t xml:space="preserve">—then </w:t>
      </w:r>
      <w:r>
        <w:rPr>
          <w:rFonts w:ascii="Times New Roman" w:cs="Times New Roman" w:eastAsia="Times New Roman" w:hAnsi="Times New Roman"/>
          <w:i/>
          <w:iCs/>
          <w:sz w:val="24"/>
          <w:szCs w:val="24"/>
          <w:lang w:eastAsia="en-GB"/>
        </w:rPr>
        <w:t>where is the hope?</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Indeed, the hope itself would be extinguished. But hope comes </w:t>
      </w:r>
      <w:r>
        <w:rPr>
          <w:rFonts w:ascii="Times New Roman" w:cs="Times New Roman" w:eastAsia="Times New Roman" w:hAnsi="Times New Roman"/>
          <w:b/>
          <w:bCs/>
          <w:sz w:val="24"/>
          <w:szCs w:val="24"/>
          <w:lang w:eastAsia="en-GB"/>
        </w:rPr>
        <w:t>only when you preach the resurrection</w:t>
      </w:r>
      <w:r>
        <w:rPr>
          <w:rFonts w:ascii="Times New Roman" w:cs="Times New Roman" w:eastAsia="Times New Roman" w:hAnsi="Times New Roman"/>
          <w:sz w:val="24"/>
          <w:szCs w:val="24"/>
          <w:lang w:eastAsia="en-GB"/>
        </w:rPr>
        <w:t>.</w:t>
      </w:r>
    </w:p>
    <w:p>
      <w:pPr>
        <w:pStyle w:val="style0"/>
        <w:spacing w:before="100" w:beforeAutospacing="true" w:after="100" w:afterAutospacing="true" w:lineRule="auto" w:line="240"/>
        <w:outlineLvl w:val="2"/>
        <w:rPr>
          <w:rFonts w:ascii="Times New Roman" w:cs="Times New Roman" w:eastAsia="Times New Roman" w:hAnsi="Times New Roman"/>
          <w:b/>
          <w:bCs/>
          <w:sz w:val="27"/>
          <w:szCs w:val="27"/>
          <w:lang w:eastAsia="en-GB"/>
        </w:rPr>
      </w:pPr>
      <w:r>
        <w:rPr>
          <w:rFonts w:ascii="Times New Roman" w:cs="Times New Roman" w:eastAsia="Times New Roman" w:hAnsi="Times New Roman"/>
          <w:b/>
          <w:bCs/>
          <w:sz w:val="27"/>
          <w:szCs w:val="27"/>
          <w:lang w:eastAsia="en-GB"/>
        </w:rPr>
        <w:t xml:space="preserve">The Resurrection of Christ — </w:t>
      </w:r>
      <w:r>
        <w:rPr>
          <w:rFonts w:ascii="Times New Roman" w:cs="Times New Roman" w:eastAsia="Times New Roman" w:hAnsi="Times New Roman"/>
          <w:b/>
          <w:bCs/>
          <w:sz w:val="27"/>
          <w:szCs w:val="27"/>
          <w:lang w:eastAsia="en-GB"/>
        </w:rPr>
        <w:t>the</w:t>
      </w:r>
      <w:r>
        <w:rPr>
          <w:rFonts w:ascii="Times New Roman" w:cs="Times New Roman" w:eastAsia="Times New Roman" w:hAnsi="Times New Roman"/>
          <w:b/>
          <w:bCs/>
          <w:sz w:val="27"/>
          <w:szCs w:val="27"/>
          <w:lang w:eastAsia="en-GB"/>
        </w:rPr>
        <w:t xml:space="preserve"> Hope of Christianity</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We do not end the message here. Rather, we continue by proclaiming</w:t>
      </w:r>
      <w:r>
        <w:rPr>
          <w:rFonts w:ascii="Times New Roman" w:cs="Times New Roman" w:eastAsia="Times New Roman" w:hAnsi="Times New Roman"/>
          <w:sz w:val="24"/>
          <w:szCs w:val="24"/>
          <w:lang w:eastAsia="en-GB"/>
        </w:rPr>
        <w:t>:</w:t>
      </w:r>
      <w:r>
        <w:rPr>
          <w:rFonts w:ascii="Times New Roman" w:cs="Times New Roman" w:eastAsia="Times New Roman" w:hAnsi="Times New Roman"/>
          <w:sz w:val="24"/>
          <w:szCs w:val="24"/>
          <w:lang w:eastAsia="en-GB"/>
        </w:rPr>
        <w:br/>
      </w:r>
      <w:r>
        <w:rPr>
          <w:rFonts w:ascii="Times New Roman" w:cs="Times New Roman" w:eastAsia="Times New Roman" w:hAnsi="Times New Roman"/>
          <w:b/>
          <w:bCs/>
          <w:sz w:val="24"/>
          <w:szCs w:val="24"/>
          <w:lang w:eastAsia="en-GB"/>
        </w:rPr>
        <w:t>On the third day, He rose from the dead.</w:t>
      </w:r>
      <w:r>
        <w:rPr>
          <w:rFonts w:ascii="Times New Roman" w:cs="Times New Roman" w:eastAsia="Times New Roman" w:hAnsi="Times New Roman"/>
          <w:sz w:val="24"/>
          <w:szCs w:val="24"/>
          <w:lang w:eastAsia="en-GB"/>
        </w:rPr>
        <w:br/>
      </w:r>
      <w:r>
        <w:rPr>
          <w:rFonts w:ascii="Times New Roman" w:cs="Times New Roman" w:eastAsia="Times New Roman" w:hAnsi="Times New Roman"/>
          <w:b/>
          <w:bCs/>
          <w:sz w:val="24"/>
          <w:szCs w:val="24"/>
          <w:lang w:eastAsia="en-GB"/>
        </w:rPr>
        <w:t>That is the message of hope.</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This is the Christian hope—unlike anything found in the world. No philosophy offers it.</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No worldview contains it.</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It is only within Christianity.</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When we teach and preach</w:t>
      </w:r>
      <w:r>
        <w:rPr>
          <w:rFonts w:ascii="Times New Roman" w:cs="Times New Roman" w:eastAsia="Times New Roman" w:hAnsi="Times New Roman"/>
          <w:sz w:val="24"/>
          <w:szCs w:val="24"/>
          <w:lang w:eastAsia="en-GB"/>
        </w:rPr>
        <w:t xml:space="preserve"> that </w:t>
      </w:r>
      <w:r>
        <w:rPr>
          <w:rFonts w:ascii="Times New Roman" w:cs="Times New Roman" w:eastAsia="Times New Roman" w:hAnsi="Times New Roman"/>
          <w:b/>
          <w:bCs/>
          <w:sz w:val="24"/>
          <w:szCs w:val="24"/>
          <w:lang w:eastAsia="en-GB"/>
        </w:rPr>
        <w:t>Christ is risen from the dead</w:t>
      </w:r>
      <w:r>
        <w:rPr>
          <w:rFonts w:ascii="Times New Roman" w:cs="Times New Roman" w:eastAsia="Times New Roman" w:hAnsi="Times New Roman"/>
          <w:sz w:val="24"/>
          <w:szCs w:val="24"/>
          <w:lang w:eastAsia="en-GB"/>
        </w:rPr>
        <w:t xml:space="preserve">, that is </w:t>
      </w:r>
      <w:r>
        <w:rPr>
          <w:rFonts w:ascii="Times New Roman" w:cs="Times New Roman" w:eastAsia="Times New Roman" w:hAnsi="Times New Roman"/>
          <w:b/>
          <w:bCs/>
          <w:sz w:val="24"/>
          <w:szCs w:val="24"/>
          <w:lang w:eastAsia="en-GB"/>
        </w:rPr>
        <w:t>the hope</w:t>
      </w:r>
      <w:r>
        <w:rPr>
          <w:rFonts w:ascii="Times New Roman" w:cs="Times New Roman" w:eastAsia="Times New Roman" w:hAnsi="Times New Roman"/>
          <w:sz w:val="24"/>
          <w:szCs w:val="24"/>
          <w:lang w:eastAsia="en-GB"/>
        </w:rPr>
        <w:t>—a hope exclusive to the Gospel of Jesus Christ.</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Is that clear?</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If there are any pastors among you, Bible teachers, or Bible college students, then remember this: when you speak of the Gospel, let me tell you—</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Many times when I go to preach or teach, I ask young people</w:t>
      </w:r>
      <w:r>
        <w:rPr>
          <w:rFonts w:ascii="Times New Roman" w:cs="Times New Roman" w:eastAsia="Times New Roman" w:hAnsi="Times New Roman"/>
          <w:sz w:val="24"/>
          <w:szCs w:val="24"/>
          <w:lang w:eastAsia="en-GB"/>
        </w:rPr>
        <w:t xml:space="preserve">, </w:t>
      </w:r>
      <w:r>
        <w:rPr>
          <w:rFonts w:ascii="Times New Roman" w:cs="Times New Roman" w:eastAsia="Times New Roman" w:hAnsi="Times New Roman"/>
          <w:sz w:val="24"/>
          <w:szCs w:val="24"/>
          <w:lang w:eastAsia="en-GB"/>
        </w:rPr>
        <w:br/>
      </w:r>
      <w:r>
        <w:rPr>
          <w:rFonts w:ascii="Times New Roman" w:cs="Times New Roman" w:eastAsia="Times New Roman" w:hAnsi="Times New Roman"/>
          <w:i/>
          <w:iCs/>
          <w:sz w:val="24"/>
          <w:szCs w:val="24"/>
          <w:lang w:eastAsia="en-GB"/>
        </w:rPr>
        <w:t>“What is the Gospel?”</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 xml:space="preserve">You won’t believe it, but often they connect the Gospel to </w:t>
      </w:r>
      <w:r>
        <w:rPr>
          <w:rFonts w:ascii="Times New Roman" w:cs="Times New Roman" w:eastAsia="Times New Roman" w:hAnsi="Times New Roman"/>
          <w:b/>
          <w:bCs/>
          <w:sz w:val="24"/>
          <w:szCs w:val="24"/>
          <w:lang w:eastAsia="en-GB"/>
        </w:rPr>
        <w:t>knowledge</w:t>
      </w:r>
      <w:r>
        <w:rPr>
          <w:rFonts w:ascii="Times New Roman" w:cs="Times New Roman" w:eastAsia="Times New Roman" w:hAnsi="Times New Roman"/>
          <w:sz w:val="24"/>
          <w:szCs w:val="24"/>
          <w:lang w:eastAsia="en-GB"/>
        </w:rPr>
        <w:t xml:space="preserve">, or to </w:t>
      </w:r>
      <w:r>
        <w:rPr>
          <w:rFonts w:ascii="Times New Roman" w:cs="Times New Roman" w:eastAsia="Times New Roman" w:hAnsi="Times New Roman"/>
          <w:b/>
          <w:bCs/>
          <w:sz w:val="24"/>
          <w:szCs w:val="24"/>
          <w:lang w:eastAsia="en-GB"/>
        </w:rPr>
        <w:t>healing</w:t>
      </w:r>
      <w:r>
        <w:rPr>
          <w:rFonts w:ascii="Times New Roman" w:cs="Times New Roman" w:eastAsia="Times New Roman" w:hAnsi="Times New Roman"/>
          <w:sz w:val="24"/>
          <w:szCs w:val="24"/>
          <w:lang w:eastAsia="en-GB"/>
        </w:rPr>
        <w:t xml:space="preserve">, or to </w:t>
      </w:r>
      <w:r>
        <w:rPr>
          <w:rFonts w:ascii="Times New Roman" w:cs="Times New Roman" w:eastAsia="Times New Roman" w:hAnsi="Times New Roman"/>
          <w:b/>
          <w:bCs/>
          <w:sz w:val="24"/>
          <w:szCs w:val="24"/>
          <w:lang w:eastAsia="en-GB"/>
        </w:rPr>
        <w:t>other things</w:t>
      </w:r>
      <w:r>
        <w:rPr>
          <w:rFonts w:ascii="Times New Roman" w:cs="Times New Roman" w:eastAsia="Times New Roman" w:hAnsi="Times New Roman"/>
          <w:sz w:val="24"/>
          <w:szCs w:val="24"/>
          <w:lang w:eastAsia="en-GB"/>
        </w:rPr>
        <w: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But they fail to mention:</w:t>
      </w:r>
    </w:p>
    <w:p>
      <w:pPr>
        <w:pStyle w:val="style0"/>
        <w:numPr>
          <w:ilvl w:val="0"/>
          <w:numId w:val="1"/>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 </w:t>
      </w:r>
      <w:r>
        <w:rPr>
          <w:rFonts w:ascii="Times New Roman" w:cs="Times New Roman" w:eastAsia="Times New Roman" w:hAnsi="Times New Roman"/>
          <w:b/>
          <w:bCs/>
          <w:sz w:val="24"/>
          <w:szCs w:val="24"/>
          <w:lang w:eastAsia="en-GB"/>
        </w:rPr>
        <w:t>death</w:t>
      </w:r>
      <w:r>
        <w:rPr>
          <w:rFonts w:ascii="Times New Roman" w:cs="Times New Roman" w:eastAsia="Times New Roman" w:hAnsi="Times New Roman"/>
          <w:sz w:val="24"/>
          <w:szCs w:val="24"/>
          <w:lang w:eastAsia="en-GB"/>
        </w:rPr>
        <w:t xml:space="preserve"> of Christ,</w:t>
      </w:r>
    </w:p>
    <w:p>
      <w:pPr>
        <w:pStyle w:val="style0"/>
        <w:numPr>
          <w:ilvl w:val="0"/>
          <w:numId w:val="1"/>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His </w:t>
      </w:r>
      <w:r>
        <w:rPr>
          <w:rFonts w:ascii="Times New Roman" w:cs="Times New Roman" w:eastAsia="Times New Roman" w:hAnsi="Times New Roman"/>
          <w:b/>
          <w:bCs/>
          <w:sz w:val="24"/>
          <w:szCs w:val="24"/>
          <w:lang w:eastAsia="en-GB"/>
        </w:rPr>
        <w:t>burial</w:t>
      </w:r>
      <w:r>
        <w:rPr>
          <w:rFonts w:ascii="Times New Roman" w:cs="Times New Roman" w:eastAsia="Times New Roman" w:hAnsi="Times New Roman"/>
          <w:sz w:val="24"/>
          <w:szCs w:val="24"/>
          <w:lang w:eastAsia="en-GB"/>
        </w:rPr>
        <w:t>,</w:t>
      </w:r>
    </w:p>
    <w:p>
      <w:pPr>
        <w:pStyle w:val="style0"/>
        <w:numPr>
          <w:ilvl w:val="0"/>
          <w:numId w:val="1"/>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And His </w:t>
      </w:r>
      <w:r>
        <w:rPr>
          <w:rFonts w:ascii="Times New Roman" w:cs="Times New Roman" w:eastAsia="Times New Roman" w:hAnsi="Times New Roman"/>
          <w:b/>
          <w:bCs/>
          <w:sz w:val="24"/>
          <w:szCs w:val="24"/>
          <w:lang w:eastAsia="en-GB"/>
        </w:rPr>
        <w:t>resurrection</w:t>
      </w:r>
      <w:r>
        <w:rPr>
          <w:rFonts w:ascii="Times New Roman" w:cs="Times New Roman" w:eastAsia="Times New Roman" w:hAnsi="Times New Roman"/>
          <w:sz w:val="24"/>
          <w:szCs w:val="24"/>
          <w:lang w:eastAsia="en-GB"/>
        </w:rPr>
        <w:t xml:space="preserve"> from the dead.</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According to </w:t>
      </w:r>
      <w:r>
        <w:rPr>
          <w:rFonts w:ascii="Times New Roman" w:cs="Times New Roman" w:eastAsia="Times New Roman" w:hAnsi="Times New Roman"/>
          <w:b/>
          <w:bCs/>
          <w:sz w:val="24"/>
          <w:szCs w:val="24"/>
          <w:lang w:eastAsia="en-GB"/>
        </w:rPr>
        <w:t>1 Corinthians 15:1–6</w:t>
      </w:r>
      <w:r>
        <w:rPr>
          <w:rFonts w:ascii="Times New Roman" w:cs="Times New Roman" w:eastAsia="Times New Roman" w:hAnsi="Times New Roman"/>
          <w:sz w:val="24"/>
          <w:szCs w:val="24"/>
          <w:lang w:eastAsia="en-GB"/>
        </w:rPr>
        <w:t>, if you do not speak on these three core truths, then the definition of the Gospel is incomplete.</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That is why, as we study </w:t>
      </w:r>
      <w:r>
        <w:rPr>
          <w:rFonts w:ascii="Times New Roman" w:cs="Times New Roman" w:eastAsia="Times New Roman" w:hAnsi="Times New Roman"/>
          <w:b/>
          <w:bCs/>
          <w:sz w:val="24"/>
          <w:szCs w:val="24"/>
          <w:lang w:eastAsia="en-GB"/>
        </w:rPr>
        <w:t>Eschatology</w:t>
      </w:r>
      <w:r>
        <w:rPr>
          <w:rFonts w:ascii="Times New Roman" w:cs="Times New Roman" w:eastAsia="Times New Roman" w:hAnsi="Times New Roman"/>
          <w:sz w:val="24"/>
          <w:szCs w:val="24"/>
          <w:lang w:eastAsia="en-GB"/>
        </w:rPr>
        <w:t xml:space="preserve"> (the doctrine of last things), the </w:t>
      </w:r>
      <w:r>
        <w:rPr>
          <w:rFonts w:ascii="Times New Roman" w:cs="Times New Roman" w:eastAsia="Times New Roman" w:hAnsi="Times New Roman"/>
          <w:b/>
          <w:bCs/>
          <w:sz w:val="24"/>
          <w:szCs w:val="24"/>
          <w:lang w:eastAsia="en-GB"/>
        </w:rPr>
        <w:t>resurrection of the dead</w:t>
      </w:r>
      <w:r>
        <w:rPr>
          <w:rFonts w:ascii="Times New Roman" w:cs="Times New Roman" w:eastAsia="Times New Roman" w:hAnsi="Times New Roman"/>
          <w:sz w:val="24"/>
          <w:szCs w:val="24"/>
          <w:lang w:eastAsia="en-GB"/>
        </w:rPr>
        <w:t xml:space="preserve"> is not optional. It is not </w:t>
      </w:r>
      <w:r>
        <w:rPr>
          <w:rFonts w:ascii="Times New Roman" w:cs="Times New Roman" w:eastAsia="Times New Roman" w:hAnsi="Times New Roman"/>
          <w:i/>
          <w:iCs/>
          <w:sz w:val="24"/>
          <w:szCs w:val="24"/>
          <w:lang w:eastAsia="en-GB"/>
        </w:rPr>
        <w:t>my personal choice</w:t>
      </w:r>
      <w:r>
        <w:rPr>
          <w:rFonts w:ascii="Times New Roman" w:cs="Times New Roman" w:eastAsia="Times New Roman" w:hAnsi="Times New Roman"/>
          <w:sz w:val="24"/>
          <w:szCs w:val="24"/>
          <w:lang w:eastAsia="en-GB"/>
        </w:rPr>
        <w:t xml:space="preserve"> to teach it—</w:t>
      </w:r>
      <w:r>
        <w:rPr>
          <w:rFonts w:ascii="Times New Roman" w:cs="Times New Roman" w:eastAsia="Times New Roman" w:hAnsi="Times New Roman"/>
          <w:sz w:val="24"/>
          <w:szCs w:val="24"/>
          <w:lang w:eastAsia="en-GB"/>
        </w:rPr>
        <w:br/>
      </w:r>
      <w:r>
        <w:rPr>
          <w:rFonts w:ascii="Times New Roman" w:cs="Times New Roman" w:eastAsia="Times New Roman" w:hAnsi="Times New Roman"/>
          <w:b/>
          <w:bCs/>
          <w:sz w:val="24"/>
          <w:szCs w:val="24"/>
          <w:lang w:eastAsia="en-GB"/>
        </w:rPr>
        <w:t>it</w:t>
      </w:r>
      <w:r>
        <w:rPr>
          <w:rFonts w:ascii="Times New Roman" w:cs="Times New Roman" w:eastAsia="Times New Roman" w:hAnsi="Times New Roman"/>
          <w:b/>
          <w:bCs/>
          <w:sz w:val="24"/>
          <w:szCs w:val="24"/>
          <w:lang w:eastAsia="en-GB"/>
        </w:rPr>
        <w:t xml:space="preserve"> is the command of God’s Word.</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It is not a matter of personal preference</w:t>
      </w:r>
      <w:r>
        <w:rPr>
          <w:rFonts w:ascii="Times New Roman" w:cs="Times New Roman" w:eastAsia="Times New Roman" w:hAnsi="Times New Roman"/>
          <w:sz w:val="24"/>
          <w:szCs w:val="24"/>
          <w:lang w:eastAsia="en-GB"/>
        </w:rPr>
        <w:t>,</w:t>
      </w:r>
      <w:r>
        <w:rPr>
          <w:rFonts w:ascii="Times New Roman" w:cs="Times New Roman" w:eastAsia="Times New Roman" w:hAnsi="Times New Roman"/>
          <w:sz w:val="24"/>
          <w:szCs w:val="24"/>
          <w:lang w:eastAsia="en-GB"/>
        </w:rPr>
        <w:br/>
      </w:r>
      <w:r>
        <w:rPr>
          <w:rFonts w:ascii="Times New Roman" w:cs="Times New Roman" w:eastAsia="Times New Roman" w:hAnsi="Times New Roman"/>
          <w:b/>
          <w:bCs/>
          <w:sz w:val="24"/>
          <w:szCs w:val="24"/>
          <w:lang w:eastAsia="en-GB"/>
        </w:rPr>
        <w:t>but the decision of the Word of God</w:t>
      </w:r>
      <w:r>
        <w:rPr>
          <w:rFonts w:ascii="Times New Roman" w:cs="Times New Roman" w:eastAsia="Times New Roman" w:hAnsi="Times New Roman"/>
          <w:sz w:val="24"/>
          <w:szCs w:val="24"/>
          <w:lang w:eastAsia="en-GB"/>
        </w:rPr>
        <w:t xml:space="preserve"> itself.</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Because if you do not preach the resurrection, then neither the doctrine of Christianity nor Christian theology can be complete.</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As the Apostle Paul wrote—and our beloved brother has just read:</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“If Christ be not raised from the dead, then our faith is in vain, and our preaching is also in vain.” (1 Corinthians 15:14)</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If the Christian faith holds no hope</w:t>
      </w:r>
      <w:r>
        <w:rPr>
          <w:rFonts w:ascii="Times New Roman" w:cs="Times New Roman" w:eastAsia="Times New Roman" w:hAnsi="Times New Roman"/>
          <w:sz w:val="24"/>
          <w:szCs w:val="24"/>
          <w:lang w:eastAsia="en-GB"/>
        </w:rPr>
        <w:t>,</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then what are we preaching?</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What are we teaching in our classrooms?</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Everything collapses</w:t>
      </w:r>
      <w:r>
        <w:rPr>
          <w:rFonts w:ascii="Times New Roman" w:cs="Times New Roman" w:eastAsia="Times New Roman" w:hAnsi="Times New Roman"/>
          <w:sz w:val="24"/>
          <w:szCs w:val="24"/>
          <w:lang w:eastAsia="en-GB"/>
        </w:rPr>
        <w:t xml:space="preserve"> without the resurrection.</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So, where is hope?</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Hope is here:</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i/>
          <w:iCs/>
          <w:sz w:val="24"/>
          <w:szCs w:val="24"/>
          <w:lang w:eastAsia="en-GB"/>
        </w:rPr>
        <w:t>Christ is risen.</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He did not remain in the grave—</w:t>
      </w:r>
      <w:r>
        <w:rPr>
          <w:rFonts w:ascii="Times New Roman" w:cs="Times New Roman" w:eastAsia="Times New Roman" w:hAnsi="Times New Roman"/>
          <w:sz w:val="24"/>
          <w:szCs w:val="24"/>
          <w:lang w:eastAsia="en-GB"/>
        </w:rPr>
        <w:br/>
      </w:r>
      <w:r>
        <w:rPr>
          <w:rFonts w:ascii="Times New Roman" w:cs="Times New Roman" w:eastAsia="Times New Roman" w:hAnsi="Times New Roman"/>
          <w:b/>
          <w:bCs/>
          <w:sz w:val="24"/>
          <w:szCs w:val="24"/>
          <w:lang w:eastAsia="en-GB"/>
        </w:rPr>
        <w:t>He rose again.</w:t>
      </w:r>
    </w:p>
    <w:p>
      <w:pPr>
        <w:pStyle w:val="style0"/>
        <w:spacing w:before="100" w:beforeAutospacing="true" w:after="100" w:afterAutospacing="true" w:lineRule="auto" w:line="240"/>
        <w:outlineLvl w:val="2"/>
        <w:rPr>
          <w:rFonts w:ascii="Times New Roman" w:cs="Times New Roman" w:eastAsia="Times New Roman" w:hAnsi="Times New Roman"/>
          <w:b/>
          <w:bCs/>
          <w:sz w:val="27"/>
          <w:szCs w:val="27"/>
          <w:lang w:eastAsia="en-GB"/>
        </w:rPr>
      </w:pPr>
      <w:r>
        <w:rPr>
          <w:rFonts w:ascii="Times New Roman" w:cs="Times New Roman" w:eastAsia="Times New Roman" w:hAnsi="Times New Roman"/>
          <w:b/>
          <w:bCs/>
          <w:sz w:val="27"/>
          <w:szCs w:val="27"/>
          <w:lang w:eastAsia="en-GB"/>
        </w:rPr>
        <w:t>Two Opposing Views in Jesus’ Time</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In the time of Jesus, among the Jews, there were two distinct theological views:</w:t>
      </w:r>
    </w:p>
    <w:p>
      <w:pPr>
        <w:pStyle w:val="style0"/>
        <w:numPr>
          <w:ilvl w:val="0"/>
          <w:numId w:val="2"/>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The Pharisees</w:t>
      </w:r>
      <w:r>
        <w:rPr>
          <w:rFonts w:ascii="Times New Roman" w:cs="Times New Roman" w:eastAsia="Times New Roman" w:hAnsi="Times New Roman"/>
          <w:sz w:val="24"/>
          <w:szCs w:val="24"/>
          <w:lang w:eastAsia="en-GB"/>
        </w:rPr>
        <w:t xml:space="preserve"> believed in the resurrection of the dead.</w:t>
      </w:r>
    </w:p>
    <w:p>
      <w:pPr>
        <w:pStyle w:val="style0"/>
        <w:numPr>
          <w:ilvl w:val="0"/>
          <w:numId w:val="2"/>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The Sadducees</w:t>
      </w:r>
      <w:r>
        <w:rPr>
          <w:rFonts w:ascii="Times New Roman" w:cs="Times New Roman" w:eastAsia="Times New Roman" w:hAnsi="Times New Roman"/>
          <w:sz w:val="24"/>
          <w:szCs w:val="24"/>
          <w:lang w:eastAsia="en-GB"/>
        </w:rPr>
        <w:t xml:space="preserve"> rejected it.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Let’s make it clear:</w:t>
      </w:r>
    </w:p>
    <w:p>
      <w:pPr>
        <w:pStyle w:val="style0"/>
        <w:numPr>
          <w:ilvl w:val="0"/>
          <w:numId w:val="3"/>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Pharisees (</w:t>
      </w:r>
      <w:r>
        <w:rPr>
          <w:rFonts w:ascii="Times New Roman" w:cs="Times New Roman" w:eastAsia="Times New Roman" w:hAnsi="Times New Roman"/>
          <w:b/>
          <w:bCs/>
          <w:sz w:val="24"/>
          <w:szCs w:val="24"/>
          <w:rtl/>
          <w:lang w:eastAsia="en-GB"/>
        </w:rPr>
        <w:t>فریسی</w:t>
      </w:r>
      <w:r>
        <w:rPr>
          <w:rFonts w:ascii="Times New Roman" w:cs="Times New Roman" w:eastAsia="Times New Roman" w:hAnsi="Times New Roman"/>
          <w:b/>
          <w:bCs/>
          <w:sz w:val="24"/>
          <w:szCs w:val="24"/>
          <w:lang w:eastAsia="en-GB"/>
        </w:rPr>
        <w:t>)</w:t>
      </w:r>
      <w:r>
        <w:rPr>
          <w:rFonts w:ascii="Times New Roman" w:cs="Times New Roman" w:eastAsia="Times New Roman" w:hAnsi="Times New Roman"/>
          <w:sz w:val="24"/>
          <w:szCs w:val="24"/>
          <w:lang w:eastAsia="en-GB"/>
        </w:rPr>
        <w:t xml:space="preserve"> — believed: </w:t>
      </w:r>
      <w:r>
        <w:rPr>
          <w:rFonts w:ascii="Times New Roman" w:cs="Times New Roman" w:eastAsia="Times New Roman" w:hAnsi="Times New Roman"/>
          <w:i/>
          <w:iCs/>
          <w:sz w:val="24"/>
          <w:szCs w:val="24"/>
          <w:lang w:eastAsia="en-GB"/>
        </w:rPr>
        <w:t>“There shall be a resurrection.”</w:t>
      </w:r>
    </w:p>
    <w:p>
      <w:pPr>
        <w:pStyle w:val="style0"/>
        <w:numPr>
          <w:ilvl w:val="0"/>
          <w:numId w:val="3"/>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Sadducees (</w:t>
      </w:r>
      <w:r>
        <w:rPr>
          <w:rFonts w:ascii="Times New Roman" w:cs="Times New Roman" w:eastAsia="Times New Roman" w:hAnsi="Times New Roman"/>
          <w:b/>
          <w:bCs/>
          <w:sz w:val="24"/>
          <w:szCs w:val="24"/>
          <w:rtl/>
          <w:lang w:eastAsia="en-GB"/>
        </w:rPr>
        <w:t>صدوقی</w:t>
      </w:r>
      <w:r>
        <w:rPr>
          <w:rFonts w:ascii="Times New Roman" w:cs="Times New Roman" w:eastAsia="Times New Roman" w:hAnsi="Times New Roman"/>
          <w:b/>
          <w:bCs/>
          <w:sz w:val="24"/>
          <w:szCs w:val="24"/>
          <w:lang w:eastAsia="en-GB"/>
        </w:rPr>
        <w:t>)</w:t>
      </w:r>
      <w:r>
        <w:rPr>
          <w:rFonts w:ascii="Times New Roman" w:cs="Times New Roman" w:eastAsia="Times New Roman" w:hAnsi="Times New Roman"/>
          <w:sz w:val="24"/>
          <w:szCs w:val="24"/>
          <w:lang w:eastAsia="en-GB"/>
        </w:rPr>
        <w:t xml:space="preserve"> — denied: </w:t>
      </w:r>
      <w:r>
        <w:rPr>
          <w:rFonts w:ascii="Times New Roman" w:cs="Times New Roman" w:eastAsia="Times New Roman" w:hAnsi="Times New Roman"/>
          <w:i/>
          <w:iCs/>
          <w:sz w:val="24"/>
          <w:szCs w:val="24"/>
          <w:lang w:eastAsia="en-GB"/>
        </w:rPr>
        <w:t>“There is no resurrection.”</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And when we teach, we must support our claims with </w:t>
      </w:r>
      <w:r>
        <w:rPr>
          <w:rFonts w:ascii="Times New Roman" w:cs="Times New Roman" w:eastAsia="Times New Roman" w:hAnsi="Times New Roman"/>
          <w:b/>
          <w:bCs/>
          <w:sz w:val="24"/>
          <w:szCs w:val="24"/>
          <w:lang w:eastAsia="en-GB"/>
        </w:rPr>
        <w:t>Scripture</w:t>
      </w:r>
      <w:r>
        <w:rPr>
          <w:rFonts w:ascii="Times New Roman" w:cs="Times New Roman" w:eastAsia="Times New Roman" w:hAnsi="Times New Roman"/>
          <w:sz w:val="24"/>
          <w:szCs w:val="24"/>
          <w:lang w:eastAsia="en-GB"/>
        </w:rPr>
        <w:t>, so that serious and diligent students of the Bible—like yourselves—can cite the references clearly.</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Let’s turn to the </w:t>
      </w:r>
      <w:r>
        <w:rPr>
          <w:rFonts w:ascii="Times New Roman" w:cs="Times New Roman" w:eastAsia="Times New Roman" w:hAnsi="Times New Roman"/>
          <w:b/>
          <w:bCs/>
          <w:sz w:val="24"/>
          <w:szCs w:val="24"/>
          <w:lang w:eastAsia="en-GB"/>
        </w:rPr>
        <w:t>Gospel of Matthew, chapter 22, verse 23</w:t>
      </w:r>
      <w:r>
        <w:rPr>
          <w:rFonts w:ascii="Times New Roman" w:cs="Times New Roman" w:eastAsia="Times New Roman" w:hAnsi="Times New Roman"/>
          <w:sz w:val="24"/>
          <w:szCs w:val="24"/>
          <w:lang w:eastAsia="en-GB"/>
        </w:rPr>
        <w:t>:</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i/>
          <w:iCs/>
          <w:sz w:val="24"/>
          <w:szCs w:val="24"/>
          <w:lang w:eastAsia="en-GB"/>
        </w:rPr>
        <w:t>“The same day came to Him the Sadducees, which say that there is no resurrection, and asked Him…”</w:t>
      </w:r>
      <w:r>
        <w:rPr>
          <w:rFonts w:ascii="Times New Roman" w:cs="Times New Roman" w:eastAsia="Times New Roman" w:hAnsi="Times New Roman"/>
          <w:sz w:val="24"/>
          <w:szCs w:val="24"/>
          <w:lang w:eastAsia="en-GB"/>
        </w:rPr>
        <w:t xml:space="preserve"> (Matthew 22:23)</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Second reference: Acts 23:8</w:t>
      </w:r>
      <w:r>
        <w:rPr>
          <w:rFonts w:ascii="Times New Roman" w:cs="Times New Roman" w:eastAsia="Times New Roman" w:hAnsi="Times New Roman"/>
          <w:sz w:val="24"/>
          <w:szCs w:val="24"/>
          <w:lang w:eastAsia="en-GB"/>
        </w:rPr>
        <w:t xml:space="preserve"> — let us read it together:</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i/>
          <w:iCs/>
          <w:sz w:val="24"/>
          <w:szCs w:val="24"/>
          <w:lang w:eastAsia="en-GB"/>
        </w:rPr>
        <w:t>“For the Sadducees say that there is no resurrection, neither angel, nor spirit: but the Pharisees confess both.”</w:t>
      </w:r>
      <w:r>
        <w:rPr>
          <w:rFonts w:ascii="Times New Roman" w:cs="Times New Roman" w:eastAsia="Times New Roman" w:hAnsi="Times New Roman"/>
          <w:sz w:val="24"/>
          <w:szCs w:val="24"/>
          <w:lang w:eastAsia="en-GB"/>
        </w:rPr>
        <w:t xml:space="preserve"> (Acts 23:8)</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So it's clear from Scripture: the </w:t>
      </w:r>
      <w:r>
        <w:rPr>
          <w:rFonts w:ascii="Times New Roman" w:cs="Times New Roman" w:eastAsia="Times New Roman" w:hAnsi="Times New Roman"/>
          <w:b/>
          <w:bCs/>
          <w:sz w:val="24"/>
          <w:szCs w:val="24"/>
          <w:lang w:eastAsia="en-GB"/>
        </w:rPr>
        <w:t>Sadducees denied</w:t>
      </w:r>
      <w:r>
        <w:rPr>
          <w:rFonts w:ascii="Times New Roman" w:cs="Times New Roman" w:eastAsia="Times New Roman" w:hAnsi="Times New Roman"/>
          <w:sz w:val="24"/>
          <w:szCs w:val="24"/>
          <w:lang w:eastAsia="en-GB"/>
        </w:rPr>
        <w:t xml:space="preserve"> the resurrection, angels, and spirits.</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 xml:space="preserve">The </w:t>
      </w:r>
      <w:r>
        <w:rPr>
          <w:rFonts w:ascii="Times New Roman" w:cs="Times New Roman" w:eastAsia="Times New Roman" w:hAnsi="Times New Roman"/>
          <w:b/>
          <w:bCs/>
          <w:sz w:val="24"/>
          <w:szCs w:val="24"/>
          <w:lang w:eastAsia="en-GB"/>
        </w:rPr>
        <w:t>Pharisees affirmed</w:t>
      </w:r>
      <w:r>
        <w:rPr>
          <w:rFonts w:ascii="Times New Roman" w:cs="Times New Roman" w:eastAsia="Times New Roman" w:hAnsi="Times New Roman"/>
          <w:sz w:val="24"/>
          <w:szCs w:val="24"/>
          <w:lang w:eastAsia="en-GB"/>
        </w:rPr>
        <w:t xml:space="preserve"> all of them.</w:t>
      </w:r>
    </w:p>
    <w:p>
      <w:pPr>
        <w:pStyle w:val="style0"/>
        <w:spacing w:before="100" w:beforeAutospacing="true" w:after="100" w:afterAutospacing="true" w:lineRule="auto" w:line="240"/>
        <w:outlineLvl w:val="2"/>
        <w:rPr>
          <w:rFonts w:ascii="Times New Roman" w:cs="Times New Roman" w:eastAsia="Times New Roman" w:hAnsi="Times New Roman"/>
          <w:b/>
          <w:bCs/>
          <w:sz w:val="27"/>
          <w:szCs w:val="27"/>
          <w:lang w:eastAsia="en-GB"/>
        </w:rPr>
      </w:pPr>
      <w:r>
        <w:rPr>
          <w:rFonts w:ascii="Times New Roman" w:cs="Times New Roman" w:eastAsia="Times New Roman" w:hAnsi="Times New Roman"/>
          <w:b/>
          <w:bCs/>
          <w:sz w:val="27"/>
          <w:szCs w:val="27"/>
          <w:lang w:eastAsia="en-GB"/>
        </w:rPr>
        <w:t>The Response in Athens (Acts 17)</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When the Apostle Paul went to </w:t>
      </w:r>
      <w:r>
        <w:rPr>
          <w:rFonts w:ascii="Times New Roman" w:cs="Times New Roman" w:eastAsia="Times New Roman" w:hAnsi="Times New Roman"/>
          <w:b/>
          <w:bCs/>
          <w:sz w:val="24"/>
          <w:szCs w:val="24"/>
          <w:lang w:eastAsia="en-GB"/>
        </w:rPr>
        <w:t>Athens</w:t>
      </w:r>
      <w:r>
        <w:rPr>
          <w:rFonts w:ascii="Times New Roman" w:cs="Times New Roman" w:eastAsia="Times New Roman" w:hAnsi="Times New Roman"/>
          <w:sz w:val="24"/>
          <w:szCs w:val="24"/>
          <w:lang w:eastAsia="en-GB"/>
        </w:rPr>
        <w:t>—a city in Greece, known in Scripture as "Athene"—he preached the doctrine of the resurrection. But how did the people respond?</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Turn to </w:t>
      </w:r>
      <w:r>
        <w:rPr>
          <w:rFonts w:ascii="Times New Roman" w:cs="Times New Roman" w:eastAsia="Times New Roman" w:hAnsi="Times New Roman"/>
          <w:b/>
          <w:bCs/>
          <w:sz w:val="24"/>
          <w:szCs w:val="24"/>
          <w:lang w:eastAsia="en-GB"/>
        </w:rPr>
        <w:t>Acts 17:32</w:t>
      </w:r>
      <w:r>
        <w:rPr>
          <w:rFonts w:ascii="Times New Roman" w:cs="Times New Roman" w:eastAsia="Times New Roman" w:hAnsi="Times New Roman"/>
          <w:sz w:val="24"/>
          <w:szCs w:val="24"/>
          <w:lang w:eastAsia="en-GB"/>
        </w:rPr>
        <w:t>:</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i/>
          <w:iCs/>
          <w:sz w:val="24"/>
          <w:szCs w:val="24"/>
          <w:lang w:eastAsia="en-GB"/>
        </w:rPr>
        <w:t xml:space="preserve">“And when they heard of the resurrection of the dead, some mocked: and others said, </w:t>
      </w:r>
      <w:r>
        <w:rPr>
          <w:rFonts w:ascii="Times New Roman" w:cs="Times New Roman" w:eastAsia="Times New Roman" w:hAnsi="Times New Roman"/>
          <w:i/>
          <w:iCs/>
          <w:sz w:val="24"/>
          <w:szCs w:val="24"/>
          <w:lang w:eastAsia="en-GB"/>
        </w:rPr>
        <w:t>we</w:t>
      </w:r>
      <w:r>
        <w:rPr>
          <w:rFonts w:ascii="Times New Roman" w:cs="Times New Roman" w:eastAsia="Times New Roman" w:hAnsi="Times New Roman"/>
          <w:i/>
          <w:iCs/>
          <w:sz w:val="24"/>
          <w:szCs w:val="24"/>
          <w:lang w:eastAsia="en-GB"/>
        </w:rPr>
        <w:t xml:space="preserve"> will hear thee again of this matter.”</w:t>
      </w:r>
      <w:r>
        <w:rPr>
          <w:rFonts w:ascii="Times New Roman" w:cs="Times New Roman" w:eastAsia="Times New Roman" w:hAnsi="Times New Roman"/>
          <w:sz w:val="24"/>
          <w:szCs w:val="24"/>
          <w:lang w:eastAsia="en-GB"/>
        </w:rPr>
        <w:t xml:space="preserve"> (Acts 17:32)</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They </w:t>
      </w:r>
      <w:r>
        <w:rPr>
          <w:rFonts w:ascii="Times New Roman" w:cs="Times New Roman" w:eastAsia="Times New Roman" w:hAnsi="Times New Roman"/>
          <w:b/>
          <w:bCs/>
          <w:sz w:val="24"/>
          <w:szCs w:val="24"/>
          <w:lang w:eastAsia="en-GB"/>
        </w:rPr>
        <w:t>mocked him</w:t>
      </w:r>
      <w:r>
        <w:rPr>
          <w:rFonts w:ascii="Times New Roman" w:cs="Times New Roman" w:eastAsia="Times New Roman" w:hAnsi="Times New Roman"/>
          <w:sz w:val="24"/>
          <w:szCs w:val="24"/>
          <w:lang w:eastAsia="en-GB"/>
        </w:rPr>
        <w:t>.</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 xml:space="preserve">They </w:t>
      </w:r>
      <w:r>
        <w:rPr>
          <w:rFonts w:ascii="Times New Roman" w:cs="Times New Roman" w:eastAsia="Times New Roman" w:hAnsi="Times New Roman"/>
          <w:b/>
          <w:bCs/>
          <w:sz w:val="24"/>
          <w:szCs w:val="24"/>
          <w:lang w:eastAsia="en-GB"/>
        </w:rPr>
        <w:t>scoffed</w:t>
      </w:r>
      <w:r>
        <w:rPr>
          <w:rFonts w:ascii="Times New Roman" w:cs="Times New Roman" w:eastAsia="Times New Roman" w:hAnsi="Times New Roman"/>
          <w:sz w:val="24"/>
          <w:szCs w:val="24"/>
          <w:lang w:eastAsia="en-GB"/>
        </w:rPr>
        <w:t xml:space="preserve"> at the resurrection.</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 xml:space="preserve">Some postponed it: </w:t>
      </w:r>
      <w:r>
        <w:rPr>
          <w:rFonts w:ascii="Times New Roman" w:cs="Times New Roman" w:eastAsia="Times New Roman" w:hAnsi="Times New Roman"/>
          <w:i/>
          <w:iCs/>
          <w:sz w:val="24"/>
          <w:szCs w:val="24"/>
          <w:lang w:eastAsia="en-GB"/>
        </w:rPr>
        <w:t>“We will hear thee again later.”</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So what did the Athenians do?</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 xml:space="preserve">They ridiculed the very doctrine that brings </w:t>
      </w:r>
      <w:r>
        <w:rPr>
          <w:rFonts w:ascii="Times New Roman" w:cs="Times New Roman" w:eastAsia="Times New Roman" w:hAnsi="Times New Roman"/>
          <w:b/>
          <w:bCs/>
          <w:sz w:val="24"/>
          <w:szCs w:val="24"/>
          <w:lang w:eastAsia="en-GB"/>
        </w:rPr>
        <w:t>hope</w:t>
      </w:r>
      <w:r>
        <w:rPr>
          <w:rFonts w:ascii="Times New Roman" w:cs="Times New Roman" w:eastAsia="Times New Roman" w:hAnsi="Times New Roman"/>
          <w:sz w:val="24"/>
          <w:szCs w:val="24"/>
          <w:lang w:eastAsia="en-GB"/>
        </w:rPr>
        <w:t xml:space="preserve"> to humanity.</w:t>
      </w:r>
    </w:p>
    <w:p>
      <w:pPr>
        <w:pStyle w:val="style0"/>
        <w:spacing w:before="100" w:beforeAutospacing="true" w:after="100" w:afterAutospacing="true" w:lineRule="auto" w:line="240"/>
        <w:outlineLvl w:val="2"/>
        <w:rPr>
          <w:rFonts w:ascii="Times New Roman" w:cs="Times New Roman" w:eastAsia="Times New Roman" w:hAnsi="Times New Roman"/>
          <w:b/>
          <w:bCs/>
          <w:sz w:val="27"/>
          <w:szCs w:val="27"/>
          <w:lang w:eastAsia="en-GB"/>
        </w:rPr>
      </w:pPr>
      <w:r>
        <w:rPr>
          <w:rFonts w:ascii="Times New Roman" w:cs="Times New Roman" w:eastAsia="Times New Roman" w:hAnsi="Times New Roman"/>
          <w:b/>
          <w:bCs/>
          <w:sz w:val="27"/>
          <w:szCs w:val="27"/>
          <w:lang w:eastAsia="en-GB"/>
        </w:rPr>
        <w:t>Conclusion: The Doctrine of Resurrection</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This doctrine—the </w:t>
      </w:r>
      <w:r>
        <w:rPr>
          <w:rFonts w:ascii="Times New Roman" w:cs="Times New Roman" w:eastAsia="Times New Roman" w:hAnsi="Times New Roman"/>
          <w:b/>
          <w:bCs/>
          <w:sz w:val="24"/>
          <w:szCs w:val="24"/>
          <w:lang w:eastAsia="en-GB"/>
        </w:rPr>
        <w:t>Resurrection of the Dead</w:t>
      </w:r>
      <w:r>
        <w:rPr>
          <w:rFonts w:ascii="Times New Roman" w:cs="Times New Roman" w:eastAsia="Times New Roman" w:hAnsi="Times New Roman"/>
          <w:sz w:val="24"/>
          <w:szCs w:val="24"/>
          <w:lang w:eastAsia="en-GB"/>
        </w:rPr>
        <w:t>—is central.</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 xml:space="preserve">It is </w:t>
      </w:r>
      <w:r>
        <w:rPr>
          <w:rFonts w:ascii="Times New Roman" w:cs="Times New Roman" w:eastAsia="Times New Roman" w:hAnsi="Times New Roman"/>
          <w:b/>
          <w:bCs/>
          <w:sz w:val="24"/>
          <w:szCs w:val="24"/>
          <w:lang w:eastAsia="en-GB"/>
        </w:rPr>
        <w:t>the pillar</w:t>
      </w:r>
      <w:r>
        <w:rPr>
          <w:rFonts w:ascii="Times New Roman" w:cs="Times New Roman" w:eastAsia="Times New Roman" w:hAnsi="Times New Roman"/>
          <w:sz w:val="24"/>
          <w:szCs w:val="24"/>
          <w:lang w:eastAsia="en-GB"/>
        </w:rPr>
        <w:t xml:space="preserve"> of Christian hope.</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 xml:space="preserve">It is the </w:t>
      </w:r>
      <w:r>
        <w:rPr>
          <w:rFonts w:ascii="Times New Roman" w:cs="Times New Roman" w:eastAsia="Times New Roman" w:hAnsi="Times New Roman"/>
          <w:b/>
          <w:bCs/>
          <w:sz w:val="24"/>
          <w:szCs w:val="24"/>
          <w:lang w:eastAsia="en-GB"/>
        </w:rPr>
        <w:t>heart</w:t>
      </w:r>
      <w:r>
        <w:rPr>
          <w:rFonts w:ascii="Times New Roman" w:cs="Times New Roman" w:eastAsia="Times New Roman" w:hAnsi="Times New Roman"/>
          <w:sz w:val="24"/>
          <w:szCs w:val="24"/>
          <w:lang w:eastAsia="en-GB"/>
        </w:rPr>
        <w:t xml:space="preserve"> of the Gospel.</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Christ’s death and burial alone do </w:t>
      </w:r>
      <w:r>
        <w:rPr>
          <w:rFonts w:ascii="Times New Roman" w:cs="Times New Roman" w:eastAsia="Times New Roman" w:hAnsi="Times New Roman"/>
          <w:b/>
          <w:bCs/>
          <w:sz w:val="24"/>
          <w:szCs w:val="24"/>
          <w:lang w:eastAsia="en-GB"/>
        </w:rPr>
        <w:t>not complete</w:t>
      </w:r>
      <w:r>
        <w:rPr>
          <w:rFonts w:ascii="Times New Roman" w:cs="Times New Roman" w:eastAsia="Times New Roman" w:hAnsi="Times New Roman"/>
          <w:sz w:val="24"/>
          <w:szCs w:val="24"/>
          <w:lang w:eastAsia="en-GB"/>
        </w:rPr>
        <w:t xml:space="preserve"> the Good News.</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 xml:space="preserve">It is in </w:t>
      </w:r>
      <w:r>
        <w:rPr>
          <w:rFonts w:ascii="Times New Roman" w:cs="Times New Roman" w:eastAsia="Times New Roman" w:hAnsi="Times New Roman"/>
          <w:b/>
          <w:bCs/>
          <w:sz w:val="24"/>
          <w:szCs w:val="24"/>
          <w:lang w:eastAsia="en-GB"/>
        </w:rPr>
        <w:t>His rising again</w:t>
      </w:r>
      <w:r>
        <w:rPr>
          <w:rFonts w:ascii="Times New Roman" w:cs="Times New Roman" w:eastAsia="Times New Roman" w:hAnsi="Times New Roman"/>
          <w:sz w:val="24"/>
          <w:szCs w:val="24"/>
          <w:lang w:eastAsia="en-GB"/>
        </w:rPr>
        <w:t xml:space="preserve"> that the Gospel becomes </w:t>
      </w:r>
      <w:r>
        <w:rPr>
          <w:rFonts w:ascii="Times New Roman" w:cs="Times New Roman" w:eastAsia="Times New Roman" w:hAnsi="Times New Roman"/>
          <w:b/>
          <w:bCs/>
          <w:sz w:val="24"/>
          <w:szCs w:val="24"/>
          <w:lang w:eastAsia="en-GB"/>
        </w:rPr>
        <w:t>Good News</w:t>
      </w:r>
      <w:r>
        <w:rPr>
          <w:rFonts w:ascii="Times New Roman" w:cs="Times New Roman" w:eastAsia="Times New Roman" w:hAnsi="Times New Roman"/>
          <w:sz w:val="24"/>
          <w:szCs w:val="24"/>
          <w:lang w:eastAsia="en-GB"/>
        </w:rPr>
        <w:t>.</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It is through the resurrection that:</w:t>
      </w:r>
    </w:p>
    <w:p>
      <w:pPr>
        <w:pStyle w:val="style0"/>
        <w:numPr>
          <w:ilvl w:val="0"/>
          <w:numId w:val="4"/>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Faith finds meaning,</w:t>
      </w:r>
    </w:p>
    <w:p>
      <w:pPr>
        <w:pStyle w:val="style0"/>
        <w:numPr>
          <w:ilvl w:val="0"/>
          <w:numId w:val="4"/>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Hope is birthed,</w:t>
      </w:r>
    </w:p>
    <w:p>
      <w:pPr>
        <w:pStyle w:val="style0"/>
        <w:numPr>
          <w:ilvl w:val="0"/>
          <w:numId w:val="4"/>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And Christian theology is fulfilled.</w:t>
      </w:r>
    </w:p>
    <w:p>
      <w:pPr>
        <w:pStyle w:val="style2"/>
        <w:rPr/>
      </w:pPr>
      <w:r>
        <w:rPr>
          <w:rStyle w:val="style87"/>
          <w:b w:val="false"/>
          <w:bCs w:val="false"/>
        </w:rPr>
        <w:t xml:space="preserve">The Doctrine of the Resurrection of the Dead </w:t>
      </w:r>
      <w:r>
        <w:rPr>
          <w:rStyle w:val="style87"/>
          <w:b w:val="false"/>
          <w:bCs w:val="false"/>
        </w:rPr>
        <w:t>under</w:t>
      </w:r>
      <w:r>
        <w:rPr>
          <w:rStyle w:val="style87"/>
          <w:b w:val="false"/>
          <w:bCs w:val="false"/>
        </w:rPr>
        <w:t xml:space="preserve"> Attack</w:t>
      </w:r>
    </w:p>
    <w:p>
      <w:pPr>
        <w:pStyle w:val="style94"/>
        <w:rPr/>
      </w:pPr>
      <w:r>
        <w:t>The doctrine of the resurrection of the dead has not been without opposition—indeed, from the very beginning, it has been under attack. When the Lord Jesus Christ spoke of it, the Sadducees rejected it. When the Apostle Paul proclaimed it, the men of Athens mocked him. Even today, there are many missions, denominations, sects, and groups who go years without speaking of anything beyond Christ's resurrection on Easter Sunday. Some heretical groups do not believe in the resurrection of Christ at all.</w:t>
      </w:r>
    </w:p>
    <w:p>
      <w:pPr>
        <w:pStyle w:val="style94"/>
        <w:rPr/>
      </w:pPr>
      <w:r>
        <w:t xml:space="preserve">But the Holy Bible—our inspired and preserved Canon—clearly teaches that apart from the resurrection of Christ and the resurrection of the dead, Christianity holds no hope. Death and burial exist in many philosophies, but </w:t>
      </w:r>
      <w:r>
        <w:rPr>
          <w:rStyle w:val="style87"/>
        </w:rPr>
        <w:t>resurrection</w:t>
      </w:r>
      <w:r>
        <w:t xml:space="preserve"> is unique to the Christian faith. This hope is distinct and unparalleled.</w:t>
      </w:r>
    </w:p>
    <w:p>
      <w:pPr>
        <w:pStyle w:val="style94"/>
        <w:rPr/>
      </w:pPr>
      <w:r>
        <w:t xml:space="preserve">Thus, the </w:t>
      </w:r>
      <w:r>
        <w:rPr>
          <w:rStyle w:val="style87"/>
        </w:rPr>
        <w:t>doctrine of the resurrection of the dead</w:t>
      </w:r>
      <w:r>
        <w:t xml:space="preserve"> is critical and worthy of deep study.</w:t>
      </w:r>
    </w:p>
    <w:p>
      <w:pPr>
        <w:pStyle w:val="style2"/>
        <w:rPr/>
      </w:pPr>
      <w:r>
        <w:rPr>
          <w:rStyle w:val="style87"/>
          <w:b w:val="false"/>
          <w:bCs w:val="false"/>
        </w:rPr>
        <w:t>Celsus and Origen: An Early Historical Debate</w:t>
      </w:r>
    </w:p>
    <w:p>
      <w:pPr>
        <w:pStyle w:val="style94"/>
        <w:rPr/>
      </w:pPr>
      <w:r>
        <w:t xml:space="preserve">Let us consider history. There was a man named </w:t>
      </w:r>
      <w:r>
        <w:rPr>
          <w:rStyle w:val="style87"/>
        </w:rPr>
        <w:t>Celsus</w:t>
      </w:r>
      <w:r>
        <w:t>, a Greek philosopher from the second century during the Greco-Roman period. He wrote a book opposing Christianity and its doctrines, specifically denying the resurrection of Jesus.</w:t>
      </w:r>
    </w:p>
    <w:p>
      <w:pPr>
        <w:pStyle w:val="style94"/>
        <w:rPr/>
      </w:pPr>
      <w:r>
        <w:t xml:space="preserve">In response, a Christian theologian named </w:t>
      </w:r>
      <w:r>
        <w:rPr>
          <w:rStyle w:val="style87"/>
        </w:rPr>
        <w:t>Origen</w:t>
      </w:r>
      <w:r>
        <w:t xml:space="preserve"> wrote a book titled </w:t>
      </w:r>
      <w:r>
        <w:rPr>
          <w:rStyle w:val="style88"/>
        </w:rPr>
        <w:t>Contra Celsum</w:t>
      </w:r>
      <w:r>
        <w:t xml:space="preserve"> (Latin for "Against Celsus"), in which he vigorously defended the faith, </w:t>
      </w:r>
      <w:r>
        <w:t>honouring</w:t>
      </w:r>
      <w:r>
        <w:t xml:space="preserve"> Christ and refuting Celsus through Scripture. This underscores the importance and antiquity of the doctrine of resurrection—it was so significant that early Church Fathers rose to defend it with Scripture and theological precision.</w:t>
      </w:r>
    </w:p>
    <w:p>
      <w:pPr>
        <w:pStyle w:val="style94"/>
        <w:rPr/>
      </w:pPr>
      <w:r>
        <w:t>Origen demonstrated that the resurrection is not a man-made philosophy, but rather a divine work, inseparably linked to the power by which God raised Jesus from the dead. And that same power ensures our resurrection as well.</w:t>
      </w:r>
    </w:p>
    <w:p>
      <w:pPr>
        <w:pStyle w:val="style2"/>
        <w:rPr/>
      </w:pPr>
      <w:r>
        <w:rPr>
          <w:rStyle w:val="style87"/>
          <w:b w:val="false"/>
          <w:bCs w:val="false"/>
        </w:rPr>
        <w:t xml:space="preserve">The </w:t>
      </w:r>
      <w:r>
        <w:rPr>
          <w:rStyle w:val="style87"/>
          <w:b w:val="false"/>
          <w:bCs w:val="false"/>
        </w:rPr>
        <w:t>First fruits</w:t>
      </w:r>
      <w:r>
        <w:rPr>
          <w:rStyle w:val="style87"/>
          <w:b w:val="false"/>
          <w:bCs w:val="false"/>
        </w:rPr>
        <w:t xml:space="preserve"> of the Resurrection</w:t>
      </w:r>
    </w:p>
    <w:p>
      <w:pPr>
        <w:pStyle w:val="style94"/>
        <w:rPr/>
      </w:pPr>
      <w:r>
        <w:t xml:space="preserve">Why do we believe that we too shall rise? Because </w:t>
      </w:r>
      <w:r>
        <w:rPr>
          <w:rStyle w:val="style87"/>
        </w:rPr>
        <w:t xml:space="preserve">Jesus Christ, the </w:t>
      </w:r>
      <w:r>
        <w:rPr>
          <w:rStyle w:val="style87"/>
        </w:rPr>
        <w:t>first fruits</w:t>
      </w:r>
      <w:r>
        <w:rPr>
          <w:rStyle w:val="style87"/>
        </w:rPr>
        <w:t xml:space="preserve"> of them that slept, has risen</w:t>
      </w:r>
      <w:r>
        <w:t xml:space="preserve"> (1 Corinthians 15:20). If He had not risen, we would have no hope, and I could not stand before you today with such confidence. But because He lives, we have the assurance that our bodies shall not remain in the grave, but shall also rise.</w:t>
      </w:r>
    </w:p>
    <w:p>
      <w:pPr>
        <w:pStyle w:val="style2"/>
        <w:rPr/>
      </w:pPr>
      <w:r>
        <w:rPr>
          <w:rStyle w:val="style87"/>
          <w:b w:val="false"/>
          <w:bCs w:val="false"/>
        </w:rPr>
        <w:t>Gnosticism and Denial of Bodily Resurrection</w:t>
      </w:r>
    </w:p>
    <w:p>
      <w:pPr>
        <w:pStyle w:val="style94"/>
        <w:rPr/>
      </w:pPr>
      <w:r>
        <w:t xml:space="preserve">You may recall from your previous lessons on </w:t>
      </w:r>
      <w:r>
        <w:rPr>
          <w:rStyle w:val="style87"/>
        </w:rPr>
        <w:t>Gnosticism</w:t>
      </w:r>
      <w:r>
        <w:t>. Gnostics taught that matter is inherently evil, and therefore, the body could be defiled without affecting the soul. They denied the bodily resurrection of Jesus, claiming such things were unnecessary or unspiritual. But again, Scripture stands opposed to such heresies.</w:t>
      </w:r>
    </w:p>
    <w:p>
      <w:pPr>
        <w:pStyle w:val="style2"/>
        <w:rPr/>
      </w:pPr>
      <w:r>
        <w:rPr>
          <w:rStyle w:val="style87"/>
          <w:b w:val="false"/>
          <w:bCs w:val="false"/>
        </w:rPr>
        <w:t>What Kind of Body Shall We Have?</w:t>
      </w:r>
    </w:p>
    <w:p>
      <w:pPr>
        <w:pStyle w:val="style94"/>
        <w:rPr/>
      </w:pPr>
      <w:r>
        <w:t xml:space="preserve">A question arose in Church history: </w:t>
      </w:r>
      <w:r>
        <w:rPr>
          <w:rStyle w:val="style88"/>
        </w:rPr>
        <w:t>What kind of body shall rise from the grave?</w:t>
      </w:r>
      <w:r>
        <w:t xml:space="preserve"> Will it be the same body, with the same infirmities—poor eyesight, diseases like cancer or diabetes?</w:t>
      </w:r>
    </w:p>
    <w:p>
      <w:pPr>
        <w:pStyle w:val="style94"/>
        <w:rPr/>
      </w:pPr>
      <w:r>
        <w:t xml:space="preserve">Some scholars believe these imperfections are the result of the </w:t>
      </w:r>
      <w:r>
        <w:t>fall</w:t>
      </w:r>
      <w:r>
        <w:t>. In a perfect creation, man did not have such flaws. Therefore, while the form and identity of the body may remain, the ailments will not.</w:t>
      </w:r>
    </w:p>
    <w:p>
      <w:pPr>
        <w:pStyle w:val="style94"/>
        <w:rPr/>
      </w:pPr>
      <w:r>
        <w:t xml:space="preserve">One notable theologian, </w:t>
      </w:r>
      <w:r>
        <w:rPr>
          <w:rStyle w:val="style87"/>
        </w:rPr>
        <w:t>Wayne Grudem</w:t>
      </w:r>
      <w:r>
        <w:t xml:space="preserve">, asserts that not even scars or bodily marks will remain. The resurrected body will be </w:t>
      </w:r>
      <w:r>
        <w:rPr>
          <w:rStyle w:val="style87"/>
        </w:rPr>
        <w:t>glorious, complete, perfect, and incorruptible</w:t>
      </w:r>
      <w:r>
        <w:t>.</w:t>
      </w:r>
    </w:p>
    <w:p>
      <w:pPr>
        <w:pStyle w:val="style94"/>
        <w:rPr/>
      </w:pPr>
      <w:r>
        <w:t>I encourage you: study, research, read theology—visit bookstores, read from the saints who have gone before, and let us learn together. Iron sharpens iron.</w:t>
      </w:r>
    </w:p>
    <w:p>
      <w:pPr>
        <w:pStyle w:val="style2"/>
        <w:rPr/>
      </w:pPr>
      <w:r>
        <w:rPr>
          <w:rStyle w:val="style87"/>
          <w:b w:val="false"/>
          <w:bCs w:val="false"/>
        </w:rPr>
        <w:t>Reformation and Resurrection: What Did the Reformers Believe?</w:t>
      </w:r>
    </w:p>
    <w:p>
      <w:pPr>
        <w:pStyle w:val="style94"/>
        <w:rPr/>
      </w:pPr>
      <w:r>
        <w:t xml:space="preserve">You have studied the </w:t>
      </w:r>
      <w:r>
        <w:rPr>
          <w:rStyle w:val="style87"/>
        </w:rPr>
        <w:t>Reformation</w:t>
      </w:r>
      <w:r>
        <w:t xml:space="preserve">. You know of </w:t>
      </w:r>
      <w:r>
        <w:rPr>
          <w:rStyle w:val="style87"/>
        </w:rPr>
        <w:t>Martin Luther</w:t>
      </w:r>
      <w:r>
        <w:t xml:space="preserve">, the founder of the Protestant movement, who challenged the teachings of his day by nailing </w:t>
      </w:r>
      <w:r>
        <w:rPr>
          <w:rStyle w:val="style87"/>
        </w:rPr>
        <w:t>95 theses</w:t>
      </w:r>
      <w:r>
        <w:t xml:space="preserve"> to the church door in </w:t>
      </w:r>
      <w:r>
        <w:rPr>
          <w:rStyle w:val="style87"/>
        </w:rPr>
        <w:t>Wittenberg, Germany</w:t>
      </w:r>
      <w:r>
        <w:t>—an act that ignited the Reformation.</w:t>
      </w:r>
    </w:p>
    <w:p>
      <w:pPr>
        <w:pStyle w:val="style94"/>
        <w:rPr/>
      </w:pPr>
      <w:r>
        <w:t xml:space="preserve">The Reformers also held that the body which is laid in the grave will be the same body that rises—same form, same features. While there may be debate about its perfected state, what is important is that </w:t>
      </w:r>
      <w:r>
        <w:rPr>
          <w:rStyle w:val="style87"/>
        </w:rPr>
        <w:t>Christ promised</w:t>
      </w:r>
      <w:r>
        <w:t>, “Because I live, ye shall live also” (John 14:19). That is our joy and our hope.</w:t>
      </w:r>
    </w:p>
    <w:p>
      <w:pPr>
        <w:pStyle w:val="style2"/>
        <w:rPr/>
      </w:pPr>
      <w:r>
        <w:rPr>
          <w:rStyle w:val="style87"/>
          <w:b w:val="false"/>
          <w:bCs w:val="false"/>
        </w:rPr>
        <w:t>Do Not Be Troubled About the Form—Be Assured of the Promise</w:t>
      </w:r>
    </w:p>
    <w:p>
      <w:pPr>
        <w:pStyle w:val="style94"/>
        <w:rPr/>
      </w:pPr>
      <w:r>
        <w:t>Do not be anxious about what form you will rise in. Rather, rejoice that those who sleep in Christ shall also rise in Christ. That is the blessed hope of the believer.</w:t>
      </w:r>
    </w:p>
    <w:p>
      <w:pPr>
        <w:pStyle w:val="style2"/>
        <w:rPr/>
      </w:pPr>
      <w:r>
        <w:rPr>
          <w:rStyle w:val="style87"/>
          <w:b w:val="false"/>
          <w:bCs w:val="false"/>
        </w:rPr>
        <w:t>Resurrection in the Old Testament</w:t>
      </w:r>
    </w:p>
    <w:p>
      <w:pPr>
        <w:pStyle w:val="style94"/>
        <w:rPr/>
      </w:pPr>
      <w:r>
        <w:t xml:space="preserve">Now let us examine whether the </w:t>
      </w:r>
      <w:r>
        <w:rPr>
          <w:rStyle w:val="style87"/>
        </w:rPr>
        <w:t>Old Testament</w:t>
      </w:r>
      <w:r>
        <w:t xml:space="preserve">—the Old Covenant—teaches resurrection. Mark this: </w:t>
      </w:r>
      <w:r>
        <w:rPr>
          <w:rStyle w:val="style88"/>
        </w:rPr>
        <w:t>OT</w:t>
      </w:r>
      <w:r>
        <w:t xml:space="preserve"> stands for Old Testament, and </w:t>
      </w:r>
      <w:r>
        <w:rPr>
          <w:rStyle w:val="style88"/>
        </w:rPr>
        <w:t>NT</w:t>
      </w:r>
      <w:r>
        <w:t xml:space="preserve"> for New Testament.</w:t>
      </w:r>
    </w:p>
    <w:p>
      <w:pPr>
        <w:pStyle w:val="style94"/>
        <w:rPr/>
      </w:pPr>
      <w:r>
        <w:t xml:space="preserve">Many say the Old Testament does not teach about the resurrection of the dead. Some scholars—even Christian ones—assert that the doctrine of the resurrection was not native to Israel, but was adopted from </w:t>
      </w:r>
      <w:r>
        <w:rPr>
          <w:rStyle w:val="style87"/>
        </w:rPr>
        <w:t>Persian</w:t>
      </w:r>
      <w:r>
        <w:t xml:space="preserve"> influence during the exile.</w:t>
      </w:r>
    </w:p>
    <w:p>
      <w:pPr>
        <w:pStyle w:val="style94"/>
        <w:rPr/>
      </w:pPr>
      <w:r>
        <w:t xml:space="preserve">But others, such as a scholar named </w:t>
      </w:r>
      <w:r>
        <w:rPr>
          <w:rStyle w:val="style87"/>
        </w:rPr>
        <w:t>DeBonded</w:t>
      </w:r>
      <w:r>
        <w:t xml:space="preserve"> (likely European or German), argue otherwise. This warrants further study.</w:t>
      </w:r>
    </w:p>
    <w:p>
      <w:pPr>
        <w:pStyle w:val="style3"/>
        <w:rPr/>
      </w:pPr>
      <w:r>
        <w:t>Teaching on the Resurrection: A Biblical Foundation</w:t>
      </w:r>
    </w:p>
    <w:p>
      <w:pPr>
        <w:pStyle w:val="style94"/>
        <w:rPr/>
      </w:pPr>
      <w:r>
        <w:t>Let us examine a matter of great significance. It was said, and it must be clearly understood, that the teaching of the resurrection of the dead was not borrowed by Israel from any foreign nation. The God of the Old Covenant Himself stands behind the doctrine of the resurrection. Now, write this down carefully.</w:t>
      </w:r>
    </w:p>
    <w:p>
      <w:pPr>
        <w:pStyle w:val="style94"/>
        <w:rPr/>
      </w:pPr>
      <w:r>
        <w:t>Dr. D. B. Dehaan once said—this is worth recording—that Israel, throughout her entire history, never encountered any nation that possessed a doctrine of the resurrection of the dead. This implies that the people of Israel did not acquire this truth from the Persians or Greeks. No! This teaching is revealed in the very nature and being of the God of Israel.</w:t>
      </w:r>
    </w:p>
    <w:p>
      <w:pPr>
        <w:pStyle w:val="style94"/>
        <w:rPr/>
      </w:pPr>
      <w:r>
        <w:t>Write this down and do not forget it.</w:t>
      </w:r>
    </w:p>
    <w:p>
      <w:pPr>
        <w:pStyle w:val="style94"/>
        <w:rPr/>
      </w:pPr>
      <w:r>
        <w:rPr>
          <w:rStyle w:val="style87"/>
        </w:rPr>
        <w:t>"Israel never came across a nation in all its history which possessed the doctrine of the resurrection of the dead."</w:t>
      </w:r>
    </w:p>
    <w:p>
      <w:pPr>
        <w:pStyle w:val="style94"/>
        <w:rPr/>
      </w:pPr>
      <w:r>
        <w:t>Thus, the doctrine of the resurrection was not borrowed—it is embedded in the revelation of God's own essence. This is not the teaching of the Gentiles. It is concealed within the mystery of the self-revealing God of Israel.</w:t>
      </w:r>
    </w:p>
    <w:p>
      <w:pPr>
        <w:pStyle w:val="style94"/>
        <w:rPr/>
      </w:pPr>
      <w:r>
        <w:t xml:space="preserve">Why is this teaching hidden in God's being? Because the only begotten Son, </w:t>
      </w:r>
      <w:r>
        <w:rPr>
          <w:rStyle w:val="style88"/>
        </w:rPr>
        <w:t>Monogenēs</w:t>
      </w:r>
      <w:r>
        <w:t xml:space="preserve"> in the Greek tongue, has perfectly declared the nature of God the Father, and He, in His holy Gospel, has taught concerning the resurrection.</w:t>
      </w:r>
    </w:p>
    <w:p>
      <w:pPr>
        <w:pStyle w:val="style94"/>
        <w:rPr/>
      </w:pPr>
      <w:r>
        <w:t>Let me not proceed further until I have assurance that all have understood. If there are questions, I shall repeat myself.</w:t>
      </w:r>
    </w:p>
    <w:p>
      <w:pPr>
        <w:pStyle w:val="style94"/>
        <w:rPr/>
      </w:pPr>
      <w:r>
        <w:t>We teachers are trained to understand that not every learner is the same. Some are auditory learners, others visual. Therefore, if necessary, I will present this in diagram form.</w:t>
      </w:r>
    </w:p>
    <w:p>
      <w:pPr>
        <w:pStyle w:val="style94"/>
        <w:rPr/>
      </w:pPr>
      <w:r>
        <w:t>Some claim that the Israelites adopted their doctrine of resurrection from the Persians or Greeks, saying, "They had nothing on this before." But many biblical scholars strongly disagree. D. B. Dehaan and others say this is incorrect. The teaching of the resurrection is already embedded in God's self-revelation.</w:t>
      </w:r>
    </w:p>
    <w:p>
      <w:pPr>
        <w:pStyle w:val="style94"/>
        <w:rPr/>
      </w:pPr>
      <w:r>
        <w:t>This God is the God of Israel—</w:t>
      </w:r>
      <w:r>
        <w:rPr>
          <w:rStyle w:val="style88"/>
        </w:rPr>
        <w:t>Shema Yisrael!</w:t>
      </w:r>
      <w:r>
        <w:t>—the one true God. This truth was not derived from the Jebusites, the Hittites, the Amorites, the Canaanites, or from the Greeks or Persians.</w:t>
      </w:r>
    </w:p>
    <w:p>
      <w:pPr>
        <w:pStyle w:val="style94"/>
        <w:rPr/>
      </w:pPr>
      <w:r>
        <w:t>Rather, the doctrine of the resurrection is found in the innermost being of the God of Israel.</w:t>
      </w:r>
    </w:p>
    <w:p>
      <w:pPr>
        <w:pStyle w:val="style94"/>
        <w:rPr/>
      </w:pPr>
      <w:r>
        <w:t xml:space="preserve">Why? Because the one and only Son—who is in the bosom of the Father—has declared Him. </w:t>
      </w:r>
      <w:r>
        <w:rPr>
          <w:rStyle w:val="style88"/>
        </w:rPr>
        <w:t>(cf. John 1:18)</w:t>
      </w:r>
      <w:r>
        <w:t xml:space="preserve"> The Greek term used there for "declared" is </w:t>
      </w:r>
      <w:r>
        <w:rPr>
          <w:rStyle w:val="style87"/>
        </w:rPr>
        <w:t>exēgēsato</w:t>
      </w:r>
      <w:r>
        <w:t xml:space="preserve">, from which we derive </w:t>
      </w:r>
      <w:r>
        <w:rPr>
          <w:rStyle w:val="style88"/>
        </w:rPr>
        <w:t>exegesis</w:t>
      </w:r>
      <w:r>
        <w:t>. The Son has exegeted the Father.</w:t>
      </w:r>
    </w:p>
    <w:p>
      <w:pPr>
        <w:pStyle w:val="style94"/>
        <w:rPr/>
      </w:pPr>
      <w:r>
        <w:t>And God willing, one day we shall discuss Biblical Hermeneutics in detail.</w:t>
      </w:r>
    </w:p>
    <w:p>
      <w:pPr>
        <w:pStyle w:val="style3"/>
        <w:rPr/>
      </w:pPr>
      <w:r>
        <w:t>Teaching of Jesus Christ on the Resurrection</w:t>
      </w:r>
    </w:p>
    <w:p>
      <w:pPr>
        <w:pStyle w:val="style94"/>
        <w:rPr/>
      </w:pPr>
      <w:r>
        <w:t>Let us now look at the teachings of our Lord Jesus Christ regarding the resurrection of the dead. Turn with me to the Gospel according to Matthew, chapter 22, verses 29 through 32.</w:t>
      </w:r>
    </w:p>
    <w:p>
      <w:pPr>
        <w:pStyle w:val="style94"/>
        <w:rPr/>
      </w:pPr>
      <w:r>
        <w:rPr>
          <w:rStyle w:val="style88"/>
        </w:rPr>
        <w:t>"Jesus answered and said unto them, Ye do err, not knowing the Scriptures, nor the power of God. For in the resurrection they neither marry, nor are given in marriage, but are as the angels of God in heaven. But as touching the resurrection of the dead, have ye not read that which was spoken unto you by God, saying, I am the God of Abraham, and the God of Isaac, and the God of Jacob? God is not the God of the dead, but of the living."</w:t>
      </w:r>
      <w:r>
        <w:br/>
      </w:r>
      <w:r>
        <w:rPr>
          <w:rStyle w:val="style88"/>
        </w:rPr>
        <w:t>(Matthew 22:29–32, KJV)</w:t>
      </w:r>
    </w:p>
    <w:p>
      <w:pPr>
        <w:pStyle w:val="style94"/>
        <w:rPr/>
      </w:pPr>
      <w:r>
        <w:t>Who said these words? God Himself declared this. And if God has spoken clearly about the resurrection, who then among mortals can claim that Israel borrowed this doctrine from the Gentiles? Even if one is a scholar of great repute, he cannot be greater than God.</w:t>
      </w:r>
    </w:p>
    <w:p>
      <w:pPr>
        <w:pStyle w:val="style3"/>
        <w:rPr/>
      </w:pPr>
      <w:r>
        <w:t>Witness of the Epistle to the Hebrews</w:t>
      </w:r>
    </w:p>
    <w:p>
      <w:pPr>
        <w:pStyle w:val="style94"/>
        <w:rPr/>
      </w:pPr>
      <w:r>
        <w:t>Now let us turn to the New Testament—specifically the Epistle to the Hebrews. Though it belongs to the New Testament canon, its author was profoundly acquainted with the Old Testament system of sacrifices. He speaks of the altar, of the tabernacle, of the blood that brings remission.</w:t>
      </w:r>
    </w:p>
    <w:p>
      <w:pPr>
        <w:pStyle w:val="style94"/>
        <w:rPr/>
      </w:pPr>
      <w:r>
        <w:t>This means that the writer had deep understanding of the Law of Moses and the Old Covenant.</w:t>
      </w:r>
    </w:p>
    <w:p>
      <w:pPr>
        <w:pStyle w:val="style94"/>
        <w:rPr/>
      </w:pPr>
      <w:r>
        <w:t>Though our main topic today is not the Epistle to the Hebrews, I mention this for clarity. In this New Testament letter, we find references to the patriarchs of old—Abraham, Isaac, and Jacob—having hope in the resurrection.</w:t>
      </w:r>
    </w:p>
    <w:p>
      <w:pPr>
        <w:pStyle w:val="style94"/>
        <w:rPr/>
      </w:pPr>
      <w:r>
        <w:t>Let us look at Hebrews 11:10:</w:t>
      </w:r>
    </w:p>
    <w:p>
      <w:pPr>
        <w:pStyle w:val="style94"/>
        <w:rPr/>
      </w:pPr>
      <w:r>
        <w:rPr>
          <w:rStyle w:val="style88"/>
        </w:rPr>
        <w:t>"For he looked for a city which hath foundations, whose builder and maker is God."</w:t>
      </w:r>
    </w:p>
    <w:p>
      <w:pPr>
        <w:pStyle w:val="style94"/>
        <w:rPr/>
      </w:pPr>
      <w:r>
        <w:t xml:space="preserve">Here, the sacred person being described was full of </w:t>
      </w:r>
      <w:r>
        <w:rPr>
          <w:rStyle w:val="style87"/>
        </w:rPr>
        <w:t>hope</w:t>
      </w:r>
      <w:r>
        <w:t xml:space="preserve">—he was a </w:t>
      </w:r>
      <w:r>
        <w:rPr>
          <w:rStyle w:val="style88"/>
        </w:rPr>
        <w:t>seeker</w:t>
      </w:r>
      <w:r>
        <w:t xml:space="preserve"> of the eternal city.</w:t>
      </w:r>
    </w:p>
    <w:p>
      <w:pPr>
        <w:pStyle w:val="style94"/>
        <w:rPr/>
      </w:pPr>
      <w:r>
        <w:t>Now Hebrews 11:13–16:</w:t>
      </w:r>
    </w:p>
    <w:p>
      <w:pPr>
        <w:pStyle w:val="style94"/>
        <w:rPr/>
      </w:pPr>
      <w:r>
        <w:rPr>
          <w:rStyle w:val="style88"/>
        </w:rPr>
        <w:t xml:space="preserve">"These all died in faith, not having received the promises, but having seen them afar off, and were persuaded of them, and embraced them, and confessed that they were strangers and pilgrims on the earth. For they that say such things declare plainly that they seek a country. And truly, if they had been mindful of that country from whence they came out, they might have had opportunity to have returned. But now they desire a better country, that is, </w:t>
      </w:r>
      <w:r>
        <w:rPr>
          <w:rStyle w:val="style88"/>
        </w:rPr>
        <w:t>a</w:t>
      </w:r>
      <w:r>
        <w:rPr>
          <w:rStyle w:val="style88"/>
        </w:rPr>
        <w:t xml:space="preserve"> heavenly: wherefore God is not ashamed to be called their God: for he hath prepared for them a city."</w:t>
      </w:r>
      <w:r>
        <w:br/>
      </w:r>
      <w:r>
        <w:rPr>
          <w:rStyle w:val="style88"/>
        </w:rPr>
        <w:t>(Hebrews 11:13–16, KJV)</w:t>
      </w:r>
    </w:p>
    <w:p>
      <w:pPr>
        <w:pStyle w:val="style94"/>
        <w:rPr/>
      </w:pPr>
      <w:r>
        <w:t>So, the patriarchs held a hope in the resurrection and in the heavenly promise, even before it was fully revealed in Christ. This proves that the doctrine was not foreign but was divinely inspired from the beginning.</w:t>
      </w:r>
    </w:p>
    <w:p>
      <w:pPr>
        <w:pStyle w:val="style94"/>
        <w:rPr/>
      </w:pPr>
      <w:r>
        <w:rPr>
          <w:rStyle w:val="style87"/>
        </w:rPr>
        <w:t>And lo, the elders of the faith, though they had no written promise of the resurrection, yet confessed that they were strangers and pilgrims upon the earth.</w:t>
      </w:r>
    </w:p>
    <w:p>
      <w:pPr>
        <w:pStyle w:val="style94"/>
        <w:rPr/>
      </w:pPr>
      <w:r>
        <w:t>If, therefore, the patriarchs—Abraham, Isaac, Jacob, and Moses—were void of hope concerning the resurrection, how then did they speak of this world as a foreign land, and of themselves as sojourners therein?</w:t>
      </w:r>
    </w:p>
    <w:p>
      <w:pPr>
        <w:pStyle w:val="style94"/>
        <w:rPr/>
      </w:pPr>
      <w:r>
        <w:t xml:space="preserve">Shew </w:t>
      </w:r>
      <w:r>
        <w:t>I</w:t>
      </w:r>
      <w:r>
        <w:t xml:space="preserve"> a verse, if thou canst, where it was revealed unto them that the earth was but a temporary dwelling, and that another world awaited. Nay, thou wilt not find it, for it is not written in such plainness.</w:t>
      </w:r>
    </w:p>
    <w:p>
      <w:pPr>
        <w:pStyle w:val="style94"/>
        <w:rPr/>
      </w:pPr>
      <w:r>
        <w:t>Yet, behold, the Scriptures declare that they died in faith, not having received the promises, but having seen them afar off, and were persuaded of them and embraced them (Hebrews 11:13).</w:t>
      </w:r>
    </w:p>
    <w:p>
      <w:pPr>
        <w:pStyle w:val="style94"/>
        <w:rPr/>
      </w:pPr>
      <w:r>
        <w:t>Therefore, though the Old Covenant speaketh not openly of the resurrection, yet in the hearts of them who feared the Lord, the hope thereof did abide.</w:t>
      </w:r>
    </w:p>
    <w:p>
      <w:pPr>
        <w:pStyle w:val="style94"/>
        <w:rPr/>
      </w:pPr>
      <w:r>
        <w:t xml:space="preserve">Consider now the words of the epistle unto the Hebrews, chapter 11, </w:t>
      </w:r>
      <w:r>
        <w:t>and verse</w:t>
      </w:r>
      <w:r>
        <w:t xml:space="preserve"> 19:</w:t>
      </w:r>
      <w:r>
        <w:br/>
      </w:r>
      <w:r>
        <w:rPr>
          <w:rStyle w:val="style88"/>
        </w:rPr>
        <w:t>“Accounting that God was able to raise him up, even from the dead; from whence also he received him in a figure.”</w:t>
      </w:r>
    </w:p>
    <w:p>
      <w:pPr>
        <w:pStyle w:val="style94"/>
        <w:rPr/>
      </w:pPr>
      <w:r>
        <w:t>This he speaketh of Abraham, who believed that even from death, God could restore life.</w:t>
      </w:r>
    </w:p>
    <w:p>
      <w:pPr>
        <w:pStyle w:val="style94"/>
        <w:rPr/>
      </w:pPr>
      <w:r>
        <w:t>Likewise, in the Psalms it is written (Psalm 49:15):</w:t>
      </w:r>
      <w:r>
        <w:br/>
      </w:r>
      <w:r>
        <w:rPr>
          <w:rStyle w:val="style88"/>
        </w:rPr>
        <w:t>“But God will redeem my soul from the power of the grave: for He shall receive me. Selah.”</w:t>
      </w:r>
    </w:p>
    <w:p>
      <w:pPr>
        <w:pStyle w:val="style94"/>
        <w:rPr/>
      </w:pPr>
      <w:r>
        <w:t>And again, in Psalm 73:24–25:</w:t>
      </w:r>
      <w:r>
        <w:br/>
      </w:r>
      <w:r>
        <w:rPr>
          <w:rStyle w:val="style88"/>
        </w:rPr>
        <w:t>“Thou shalt guide me with Thy counsel, and afterward receive me to glory. Whom have I in heaven but Thee? And there is none upon earth that I desire beside Thee.”</w:t>
      </w:r>
    </w:p>
    <w:p>
      <w:pPr>
        <w:pStyle w:val="style94"/>
        <w:rPr/>
      </w:pPr>
      <w:r>
        <w:t>These words spake Asaph, having hope not only in this life, but in the life to come—hope of being received into glory.</w:t>
      </w:r>
    </w:p>
    <w:p>
      <w:pPr>
        <w:pStyle w:val="style94"/>
        <w:rPr/>
      </w:pPr>
      <w:r>
        <w:t>Verily, the Book of Job, which is of old, declareth with clarity the faith of the ancient one, who saith (Job 19:25–27):</w:t>
      </w:r>
      <w:r>
        <w:br/>
      </w:r>
      <w:r>
        <w:rPr>
          <w:rStyle w:val="style88"/>
        </w:rPr>
        <w:t>“For I know that my Redeemer liveth, and that He shall stand at the latter day upon the earth: And though after my skin worms destroy this body, yet in my flesh shall I see God: Whom I shall see for myself, and mine eyes shall behold, and not another; though my reins be consumed within me.”</w:t>
      </w:r>
    </w:p>
    <w:p>
      <w:pPr>
        <w:pStyle w:val="style94"/>
        <w:rPr/>
      </w:pPr>
      <w:r>
        <w:t xml:space="preserve">Behold! How great was the understanding of </w:t>
      </w:r>
      <w:r>
        <w:t>Job that</w:t>
      </w:r>
      <w:r>
        <w:t xml:space="preserve"> he knew of the resurrection and of seeing God with his own eyes.</w:t>
      </w:r>
    </w:p>
    <w:p>
      <w:pPr>
        <w:pStyle w:val="style94"/>
        <w:rPr/>
      </w:pPr>
      <w:r>
        <w:t>Therefore, let no man say that the Old Covenant is silent concerning the resurrection—for it is not so. The saints of old died in hope, being persuaded that God would not leave their souls in Sheol, nor suffer His holy ones to see corruption.</w:t>
      </w:r>
    </w:p>
    <w:p>
      <w:pPr>
        <w:pStyle w:val="style94"/>
        <w:rPr/>
      </w:pPr>
      <w:r>
        <w:t>And moreover, the prophets speak:</w:t>
      </w:r>
    </w:p>
    <w:p>
      <w:pPr>
        <w:pStyle w:val="style94"/>
        <w:numPr>
          <w:ilvl w:val="0"/>
          <w:numId w:val="5"/>
        </w:numPr>
        <w:rPr/>
      </w:pPr>
      <w:r>
        <w:t xml:space="preserve">Isaiah 26:19 – </w:t>
      </w:r>
      <w:r>
        <w:rPr>
          <w:rStyle w:val="style88"/>
        </w:rPr>
        <w:t>“Thy dead men shall live, together with my dead body shall they arise.”</w:t>
      </w:r>
    </w:p>
    <w:p>
      <w:pPr>
        <w:pStyle w:val="style94"/>
        <w:numPr>
          <w:ilvl w:val="0"/>
          <w:numId w:val="5"/>
        </w:numPr>
        <w:rPr/>
      </w:pPr>
      <w:r>
        <w:t xml:space="preserve">Daniel 12:2 – </w:t>
      </w:r>
      <w:r>
        <w:rPr>
          <w:rStyle w:val="style88"/>
        </w:rPr>
        <w:t>“And many of them that sleep in the dust of the earth shall awake.”</w:t>
      </w:r>
    </w:p>
    <w:p>
      <w:pPr>
        <w:pStyle w:val="style94"/>
        <w:numPr>
          <w:ilvl w:val="0"/>
          <w:numId w:val="5"/>
        </w:numPr>
        <w:rPr/>
      </w:pPr>
      <w:r>
        <w:t>Ezekiel 37:1–14 – The valley of dry bones restored unto life.</w:t>
      </w:r>
    </w:p>
    <w:p>
      <w:pPr>
        <w:pStyle w:val="style94"/>
        <w:rPr/>
      </w:pPr>
      <w:r>
        <w:t>Thus saith the Lord: the hope of the resurrection is both old and true. It was believed by the fathers, declared by the prophets, fulfilled in Christ, and shall be completed in the day of His coming.</w:t>
      </w:r>
    </w:p>
    <w:p>
      <w:pPr>
        <w:pStyle w:val="style94"/>
        <w:rPr/>
      </w:pPr>
      <w:r>
        <w:t>Let every soul, therefore, that hath this hope in Him, purify himself, even as He is pure. Amen.</w:t>
      </w:r>
    </w:p>
    <w:p>
      <w:pPr>
        <w:pStyle w:val="style0"/>
        <w:rPr/>
      </w:pPr>
    </w:p>
    <w:sectPr>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007020507"/>
    <w:charset w:val="02"/>
    <w:family w:val="roman"/>
    <w:pitch w:val="variable"/>
    <w:sig w:usb0="00000000" w:usb1="10000000" w:usb2="00000000" w:usb3="00000000" w:csb0="80000000" w:csb1="00000000"/>
  </w:font>
  <w:font w:name="Times New Roman">
    <w:altName w:val="Times New Roman"/>
    <w:panose1 w:val="02020603050004020304"/>
    <w:charset w:val="00"/>
    <w:family w:val="roman"/>
    <w:pitch w:val="variable"/>
    <w:sig w:usb0="E0002EFF" w:usb1="C000785B" w:usb2="00000009" w:usb3="00000000" w:csb0="000001FF" w:csb1="00000000"/>
  </w:font>
  <w:font w:name="Courier New">
    <w:altName w:val="Courier New"/>
    <w:panose1 w:val="02070309020002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002030204"/>
    <w:charset w:val="00"/>
    <w:family w:val="swiss"/>
    <w:pitch w:val="variable"/>
    <w:sig w:usb0="E4002EFF" w:usb1="C200247B" w:usb2="00000009" w:usb3="00000000" w:csb0="000001FF" w:csb1="00000000"/>
  </w:font>
  <w:font w:name="Arial">
    <w:altName w:val="Arial"/>
    <w:panose1 w:val="020b0604020002020204"/>
    <w:charset w:val="00"/>
    <w:family w:val="swiss"/>
    <w:pitch w:val="variable"/>
    <w:sig w:usb0="E0002EFF" w:usb1="C000785B" w:usb2="00000009" w:usb3="00000000" w:csb0="000001FF" w:csb1="00000000"/>
  </w:font>
  <w:font w:name="Calibri Light">
    <w:altName w:val="Calibri Light"/>
    <w:panose1 w:val="020f0302020002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76809BF2"/>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
    <w:nsid w:val="00000001"/>
    <w:multiLevelType w:val="multilevel"/>
    <w:tmpl w:val="3AB0BB14"/>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2">
    <w:nsid w:val="00000002"/>
    <w:multiLevelType w:val="multilevel"/>
    <w:tmpl w:val="1C461320"/>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3">
    <w:nsid w:val="00000003"/>
    <w:multiLevelType w:val="multilevel"/>
    <w:tmpl w:val="EAEC0416"/>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4">
    <w:nsid w:val="00000004"/>
    <w:multiLevelType w:val="multilevel"/>
    <w:tmpl w:val="58B6C838"/>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3"/>
  </w:num>
  <w:num w:numId="5">
    <w:abstractNumId w:val="4"/>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Arial" w:eastAsia="Calibri" w:hAnsi="Calibri"/>
        <w:sz w:val="22"/>
        <w:szCs w:val="22"/>
        <w:lang w:val="en-GB" w:bidi="ar-SA" w:eastAsia="en-US"/>
      </w:rPr>
    </w:rPrDefault>
    <w:pPrDefault>
      <w:pPr>
        <w:spacing w:after="160" w:lineRule="auto" w:line="259"/>
      </w:pPr>
    </w:pPrDefault>
  </w:docDefaults>
  <w:style w:type="paragraph" w:default="1" w:styleId="style0">
    <w:name w:val="Normal"/>
    <w:next w:val="style0"/>
    <w:qFormat/>
    <w:pPr/>
  </w:style>
  <w:style w:type="paragraph" w:styleId="style2">
    <w:name w:val="heading 2"/>
    <w:basedOn w:val="style0"/>
    <w:next w:val="style0"/>
    <w:link w:val="style4098"/>
    <w:qFormat/>
    <w:uiPriority w:val="9"/>
    <w:pPr>
      <w:keepNext/>
      <w:keepLines/>
      <w:spacing w:before="40" w:after="0"/>
      <w:outlineLvl w:val="1"/>
    </w:pPr>
    <w:rPr>
      <w:rFonts w:ascii="Calibri Light" w:cs="Times New Roman" w:eastAsia="宋体" w:hAnsi="Calibri Light"/>
      <w:color w:val="2e74b5"/>
      <w:sz w:val="26"/>
      <w:szCs w:val="26"/>
    </w:rPr>
  </w:style>
  <w:style w:type="paragraph" w:styleId="style3">
    <w:name w:val="heading 3"/>
    <w:basedOn w:val="style0"/>
    <w:next w:val="style3"/>
    <w:link w:val="style4097"/>
    <w:qFormat/>
    <w:uiPriority w:val="9"/>
    <w:pPr>
      <w:spacing w:before="100" w:beforeAutospacing="true" w:after="100" w:afterAutospacing="true" w:lineRule="auto" w:line="240"/>
      <w:outlineLvl w:val="2"/>
    </w:pPr>
    <w:rPr>
      <w:rFonts w:ascii="Times New Roman" w:cs="Times New Roman" w:eastAsia="Times New Roman" w:hAnsi="Times New Roman"/>
      <w:b/>
      <w:bCs/>
      <w:sz w:val="27"/>
      <w:szCs w:val="27"/>
      <w:lang w:eastAsia="en-GB"/>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94">
    <w:name w:val="Normal (Web)"/>
    <w:basedOn w:val="style0"/>
    <w:next w:val="style94"/>
    <w:uiPriority w:val="99"/>
    <w:pPr>
      <w:spacing w:before="100" w:beforeAutospacing="true" w:after="100" w:afterAutospacing="true" w:lineRule="auto" w:line="240"/>
    </w:pPr>
    <w:rPr>
      <w:rFonts w:ascii="Times New Roman" w:cs="Times New Roman" w:eastAsia="Times New Roman" w:hAnsi="Times New Roman"/>
      <w:sz w:val="24"/>
      <w:szCs w:val="24"/>
      <w:lang w:eastAsia="en-GB"/>
    </w:rPr>
  </w:style>
  <w:style w:type="character" w:styleId="style87">
    <w:name w:val="Strong"/>
    <w:basedOn w:val="style65"/>
    <w:next w:val="style87"/>
    <w:qFormat/>
    <w:uiPriority w:val="22"/>
    <w:rPr>
      <w:b/>
      <w:bCs/>
    </w:rPr>
  </w:style>
  <w:style w:type="character" w:styleId="style88">
    <w:name w:val="Emphasis"/>
    <w:basedOn w:val="style65"/>
    <w:next w:val="style88"/>
    <w:qFormat/>
    <w:uiPriority w:val="20"/>
    <w:rPr>
      <w:i/>
      <w:iCs/>
    </w:rPr>
  </w:style>
  <w:style w:type="character" w:customStyle="1" w:styleId="style4097">
    <w:name w:val="Heading 3 Char_f53ab252-0090-4cb6-9165-713134e7eade"/>
    <w:basedOn w:val="style65"/>
    <w:next w:val="style4097"/>
    <w:link w:val="style3"/>
    <w:uiPriority w:val="9"/>
    <w:rPr>
      <w:rFonts w:ascii="Times New Roman" w:cs="Times New Roman" w:eastAsia="Times New Roman" w:hAnsi="Times New Roman"/>
      <w:b/>
      <w:bCs/>
      <w:sz w:val="27"/>
      <w:szCs w:val="27"/>
      <w:lang w:eastAsia="en-GB"/>
    </w:rPr>
  </w:style>
  <w:style w:type="character" w:customStyle="1" w:styleId="style4098">
    <w:name w:val="Heading 2 Char_82bb5126-94b4-41db-bdb7-c358193a157d"/>
    <w:basedOn w:val="style65"/>
    <w:next w:val="style4098"/>
    <w:link w:val="style2"/>
    <w:uiPriority w:val="9"/>
    <w:rPr>
      <w:rFonts w:ascii="Calibri Light" w:cs="Times New Roman" w:eastAsia="宋体" w:hAnsi="Calibri Light"/>
      <w:color w:val="2e74b5"/>
      <w:sz w:val="26"/>
      <w:szCs w:val="26"/>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Words>3794</Words>
  <Pages>10</Pages>
  <Characters>17981</Characters>
  <Application>WPS Office</Application>
  <DocSecurity>0</DocSecurity>
  <Paragraphs>149</Paragraphs>
  <ScaleCrop>false</ScaleCrop>
  <LinksUpToDate>false</LinksUpToDate>
  <CharactersWithSpaces>21581</CharactersWithSpaces>
  <SharedDoc>false</SharedDoc>
  <HyperlinksChanged>false</HyperlinksChanged>
  <AppVersion>15.000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2025-08-03T15:02:00Z</dcterms:created>
  <dc:creator>Gul</dc:creator>
  <lastModifiedBy>Infinix X6837</lastModifiedBy>
  <dcterms:modified xsi:type="dcterms:W3CDTF">2025-08-18T18:04:08Z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cfd303d4d3c74bd0b2c094a923acf42c</vt:lpwstr>
  </property>
</Properties>
</file>